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C9" w:rsidRPr="000C340E" w:rsidRDefault="00F751C9" w:rsidP="00F751C9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B6304A" wp14:editId="6A678150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C9" w:rsidRPr="000C340E" w:rsidRDefault="00F751C9" w:rsidP="00F751C9">
      <w:pPr>
        <w:widowControl w:val="0"/>
        <w:jc w:val="center"/>
      </w:pPr>
    </w:p>
    <w:p w:rsidR="00F751C9" w:rsidRPr="000C340E" w:rsidRDefault="00F751C9" w:rsidP="00F751C9">
      <w:pPr>
        <w:widowControl w:val="0"/>
        <w:jc w:val="center"/>
      </w:pPr>
      <w:r w:rsidRPr="000C340E">
        <w:t>Российская Федерация Приморский край</w:t>
      </w:r>
    </w:p>
    <w:p w:rsidR="00F751C9" w:rsidRPr="000C340E" w:rsidRDefault="00F751C9" w:rsidP="00F751C9">
      <w:pPr>
        <w:widowControl w:val="0"/>
        <w:jc w:val="center"/>
      </w:pPr>
    </w:p>
    <w:p w:rsidR="00F751C9" w:rsidRPr="00114E93" w:rsidRDefault="00F751C9" w:rsidP="00F751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F751C9" w:rsidRPr="00114E93" w:rsidRDefault="00F751C9" w:rsidP="00F751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F751C9" w:rsidRPr="00114E93" w:rsidRDefault="00F751C9" w:rsidP="00F751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F751C9" w:rsidRPr="00114E93" w:rsidRDefault="00F751C9" w:rsidP="00F751C9">
      <w:pPr>
        <w:widowControl w:val="0"/>
        <w:jc w:val="center"/>
        <w:rPr>
          <w:b/>
          <w:sz w:val="28"/>
          <w:szCs w:val="28"/>
        </w:rPr>
      </w:pPr>
    </w:p>
    <w:p w:rsidR="00F751C9" w:rsidRPr="00114E93" w:rsidRDefault="00F751C9" w:rsidP="00F751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F751C9" w:rsidRPr="00114E93" w:rsidRDefault="00F751C9" w:rsidP="00F751C9">
      <w:pPr>
        <w:widowControl w:val="0"/>
      </w:pPr>
    </w:p>
    <w:p w:rsidR="00F751C9" w:rsidRDefault="00F751C9" w:rsidP="00F751C9">
      <w:pPr>
        <w:widowControl w:val="0"/>
        <w:rPr>
          <w:sz w:val="28"/>
          <w:szCs w:val="28"/>
        </w:rPr>
      </w:pPr>
      <w:r w:rsidRPr="00114E93">
        <w:rPr>
          <w:sz w:val="28"/>
          <w:szCs w:val="28"/>
        </w:rPr>
        <w:t xml:space="preserve">26 марта 2024 года                      </w:t>
      </w:r>
      <w:proofErr w:type="gramStart"/>
      <w:r w:rsidRPr="00114E93">
        <w:rPr>
          <w:sz w:val="28"/>
          <w:szCs w:val="28"/>
        </w:rPr>
        <w:t>с</w:t>
      </w:r>
      <w:proofErr w:type="gramEnd"/>
      <w:r w:rsidRPr="00114E93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267</w:t>
      </w:r>
      <w:r w:rsidRPr="00114E93">
        <w:rPr>
          <w:sz w:val="28"/>
          <w:szCs w:val="28"/>
        </w:rPr>
        <w:t xml:space="preserve"> - НПА</w:t>
      </w:r>
    </w:p>
    <w:p w:rsidR="00F751C9" w:rsidRPr="00114E93" w:rsidRDefault="00F751C9" w:rsidP="00F751C9">
      <w:pPr>
        <w:widowControl w:val="0"/>
        <w:rPr>
          <w:sz w:val="28"/>
          <w:szCs w:val="28"/>
        </w:rPr>
      </w:pPr>
    </w:p>
    <w:p w:rsidR="00F751C9" w:rsidRDefault="00F751C9" w:rsidP="00F751C9"/>
    <w:p w:rsidR="00F751C9" w:rsidRPr="00FC1438" w:rsidRDefault="00F751C9" w:rsidP="00F75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143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перечней </w:t>
      </w:r>
      <w:r w:rsidRPr="00FC1438">
        <w:rPr>
          <w:b/>
          <w:sz w:val="28"/>
          <w:szCs w:val="28"/>
        </w:rPr>
        <w:t xml:space="preserve">ключевых показателей муниципального жилищного контроля и их целевых значений, индикативных показателей </w:t>
      </w:r>
      <w:r>
        <w:rPr>
          <w:b/>
          <w:sz w:val="28"/>
          <w:szCs w:val="28"/>
        </w:rPr>
        <w:t xml:space="preserve">для </w:t>
      </w:r>
      <w:r w:rsidRPr="00FC1438">
        <w:rPr>
          <w:b/>
          <w:sz w:val="28"/>
          <w:szCs w:val="28"/>
        </w:rPr>
        <w:t>муниципального жилищного контроля</w:t>
      </w:r>
      <w:r>
        <w:rPr>
          <w:b/>
          <w:sz w:val="28"/>
          <w:szCs w:val="28"/>
        </w:rPr>
        <w:t>,</w:t>
      </w:r>
      <w:r w:rsidRPr="00FC1438">
        <w:rPr>
          <w:b/>
          <w:sz w:val="28"/>
          <w:szCs w:val="28"/>
        </w:rPr>
        <w:t xml:space="preserve">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Pr="00FC1438">
        <w:rPr>
          <w:b/>
          <w:sz w:val="28"/>
          <w:szCs w:val="28"/>
        </w:rPr>
        <w:t>Яковлевского</w:t>
      </w:r>
      <w:proofErr w:type="spellEnd"/>
      <w:r w:rsidRPr="00FC1438">
        <w:rPr>
          <w:b/>
          <w:sz w:val="28"/>
          <w:szCs w:val="28"/>
        </w:rPr>
        <w:t xml:space="preserve"> муниципального округа</w:t>
      </w: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DF2425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3008">
        <w:rPr>
          <w:sz w:val="28"/>
          <w:szCs w:val="28"/>
        </w:rPr>
        <w:t xml:space="preserve">На основании пункта 10 статьи 23, </w:t>
      </w:r>
      <w:hyperlink r:id="rId6" w:history="1">
        <w:r w:rsidRPr="009E3008">
          <w:rPr>
            <w:sz w:val="28"/>
            <w:szCs w:val="28"/>
          </w:rPr>
          <w:t>пункта 5 статьи 30</w:t>
        </w:r>
      </w:hyperlink>
      <w:r w:rsidRPr="009E3008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части 13 статьи 20 Жилищного </w:t>
      </w:r>
      <w:hyperlink r:id="rId7" w:history="1">
        <w:r w:rsidRPr="009E3008">
          <w:rPr>
            <w:sz w:val="28"/>
            <w:szCs w:val="28"/>
          </w:rPr>
          <w:t>кодекса</w:t>
        </w:r>
      </w:hyperlink>
      <w:r w:rsidRPr="009E3008">
        <w:rPr>
          <w:sz w:val="28"/>
          <w:szCs w:val="28"/>
        </w:rPr>
        <w:t xml:space="preserve"> Российской Федерации Дума </w:t>
      </w:r>
      <w:proofErr w:type="spellStart"/>
      <w:r w:rsidRPr="009E3008">
        <w:rPr>
          <w:sz w:val="28"/>
          <w:szCs w:val="28"/>
        </w:rPr>
        <w:t>Яковлевского</w:t>
      </w:r>
      <w:proofErr w:type="spellEnd"/>
      <w:r w:rsidRPr="009E3008">
        <w:rPr>
          <w:sz w:val="28"/>
          <w:szCs w:val="28"/>
        </w:rPr>
        <w:t xml:space="preserve"> муниципального округа</w:t>
      </w:r>
    </w:p>
    <w:p w:rsidR="00F751C9" w:rsidRPr="00DF2425" w:rsidRDefault="00F751C9" w:rsidP="00F751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51C9" w:rsidRPr="00DF2425" w:rsidRDefault="00F751C9" w:rsidP="00F75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2425">
        <w:rPr>
          <w:b/>
          <w:sz w:val="28"/>
          <w:szCs w:val="28"/>
        </w:rPr>
        <w:t>РЕШИЛА:</w:t>
      </w:r>
    </w:p>
    <w:p w:rsidR="00F751C9" w:rsidRDefault="00F751C9" w:rsidP="00F751C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</w:t>
      </w:r>
      <w:r w:rsidRPr="008F00E1">
        <w:rPr>
          <w:sz w:val="28"/>
          <w:szCs w:val="28"/>
        </w:rPr>
        <w:t xml:space="preserve">ключевых показателей муниципального жилищного контроля и их целевых значений на территории </w:t>
      </w:r>
      <w:proofErr w:type="spellStart"/>
      <w:r w:rsidRPr="008F00E1">
        <w:rPr>
          <w:sz w:val="28"/>
          <w:szCs w:val="28"/>
        </w:rPr>
        <w:t>Яковлевского</w:t>
      </w:r>
      <w:proofErr w:type="spellEnd"/>
      <w:r w:rsidRPr="008F00E1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(приложение 1).</w:t>
      </w: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</w:t>
      </w:r>
      <w:r w:rsidRPr="008F00E1">
        <w:rPr>
          <w:sz w:val="28"/>
          <w:szCs w:val="28"/>
        </w:rPr>
        <w:t xml:space="preserve">индикативных показателей для муниципального жилищного контроля на территории </w:t>
      </w:r>
      <w:proofErr w:type="spellStart"/>
      <w:r w:rsidRPr="008F00E1">
        <w:rPr>
          <w:sz w:val="28"/>
          <w:szCs w:val="28"/>
        </w:rPr>
        <w:t>Яковлевского</w:t>
      </w:r>
      <w:proofErr w:type="spellEnd"/>
      <w:r w:rsidRPr="008F00E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(приложение 2).</w:t>
      </w: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</w:t>
      </w:r>
      <w:r w:rsidRPr="008F00E1">
        <w:rPr>
          <w:sz w:val="28"/>
          <w:szCs w:val="28"/>
        </w:rPr>
        <w:t xml:space="preserve">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Pr="008F00E1">
        <w:rPr>
          <w:sz w:val="28"/>
          <w:szCs w:val="28"/>
        </w:rPr>
        <w:t>Яковлевского</w:t>
      </w:r>
      <w:proofErr w:type="spellEnd"/>
      <w:r w:rsidRPr="008F00E1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(приложение 3).</w:t>
      </w:r>
    </w:p>
    <w:p w:rsidR="00F751C9" w:rsidRPr="004F0981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F0981">
        <w:rPr>
          <w:sz w:val="28"/>
          <w:szCs w:val="28"/>
        </w:rPr>
        <w:t xml:space="preserve">Признать утратившим силу решение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 xml:space="preserve">22.02.2022 </w:t>
      </w:r>
      <w:r w:rsidRPr="004F0981">
        <w:rPr>
          <w:sz w:val="28"/>
          <w:szCs w:val="28"/>
        </w:rPr>
        <w:t xml:space="preserve">№ 524 - НПА «Об утверждении ключевых показателей муниципального жилищного контроля и их целевых значений, индикативных показателей муниципального жилищного контроля, перечня индикаторов риска нарушения обязательных требований при осуществлении муниципального жилищного контроля на территории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муниципального района».</w:t>
      </w:r>
    </w:p>
    <w:p w:rsidR="00F751C9" w:rsidRPr="004F0981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F098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751C9" w:rsidRPr="004F0981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F0981">
        <w:rPr>
          <w:sz w:val="28"/>
          <w:szCs w:val="28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4F0981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4F0981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Председатель Думы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F0981">
        <w:rPr>
          <w:sz w:val="28"/>
          <w:szCs w:val="28"/>
        </w:rPr>
        <w:t>Животягин</w:t>
      </w:r>
      <w:proofErr w:type="spellEnd"/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4F098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4F0981">
        <w:rPr>
          <w:sz w:val="28"/>
          <w:szCs w:val="28"/>
        </w:rPr>
        <w:t xml:space="preserve"> </w:t>
      </w:r>
      <w:proofErr w:type="spellStart"/>
      <w:r w:rsidRPr="004F0981">
        <w:rPr>
          <w:sz w:val="28"/>
          <w:szCs w:val="28"/>
        </w:rPr>
        <w:t>Яковлевского</w:t>
      </w:r>
      <w:proofErr w:type="spellEnd"/>
      <w:r w:rsidRPr="004F0981">
        <w:rPr>
          <w:sz w:val="28"/>
          <w:szCs w:val="28"/>
        </w:rPr>
        <w:t xml:space="preserve"> </w:t>
      </w:r>
    </w:p>
    <w:p w:rsidR="00F751C9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0981">
        <w:rPr>
          <w:sz w:val="28"/>
          <w:szCs w:val="28"/>
        </w:rPr>
        <w:t xml:space="preserve">муниципального округа                                       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Подложнюк</w:t>
      </w:r>
      <w:proofErr w:type="spellEnd"/>
    </w:p>
    <w:p w:rsidR="00F751C9" w:rsidRPr="004F0981" w:rsidRDefault="00F751C9" w:rsidP="00F751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F751C9" w:rsidRDefault="00F751C9" w:rsidP="00F751C9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>.2024 №</w:t>
      </w:r>
      <w:r>
        <w:rPr>
          <w:sz w:val="24"/>
          <w:szCs w:val="24"/>
        </w:rPr>
        <w:t xml:space="preserve"> 267</w:t>
      </w:r>
      <w:r w:rsidRPr="00182BF0">
        <w:rPr>
          <w:sz w:val="24"/>
          <w:szCs w:val="24"/>
        </w:rPr>
        <w:t xml:space="preserve"> - НПА</w:t>
      </w:r>
    </w:p>
    <w:p w:rsidR="00F751C9" w:rsidRPr="00D74532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D74532" w:rsidRDefault="00F751C9" w:rsidP="00F75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1C9" w:rsidRPr="00DF2425" w:rsidRDefault="00F751C9" w:rsidP="00F751C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751C9" w:rsidRDefault="00F751C9" w:rsidP="00F751C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к</w:t>
      </w:r>
      <w:r w:rsidRPr="00BF3A41">
        <w:rPr>
          <w:b/>
          <w:sz w:val="26"/>
          <w:szCs w:val="26"/>
        </w:rPr>
        <w:t>лючевы</w:t>
      </w:r>
      <w:r>
        <w:rPr>
          <w:b/>
          <w:sz w:val="26"/>
          <w:szCs w:val="26"/>
        </w:rPr>
        <w:t>х</w:t>
      </w:r>
      <w:r w:rsidRPr="00BF3A41">
        <w:rPr>
          <w:b/>
          <w:sz w:val="26"/>
          <w:szCs w:val="26"/>
        </w:rPr>
        <w:t xml:space="preserve"> показател</w:t>
      </w:r>
      <w:r>
        <w:rPr>
          <w:b/>
          <w:sz w:val="26"/>
          <w:szCs w:val="26"/>
        </w:rPr>
        <w:t>ей</w:t>
      </w:r>
      <w:r w:rsidRPr="00BF3A41">
        <w:rPr>
          <w:b/>
          <w:sz w:val="26"/>
          <w:szCs w:val="26"/>
        </w:rPr>
        <w:t xml:space="preserve"> муниципального жилищного контроля </w:t>
      </w:r>
    </w:p>
    <w:p w:rsidR="00F751C9" w:rsidRPr="00BF3A41" w:rsidRDefault="00F751C9" w:rsidP="00F751C9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их </w:t>
      </w:r>
      <w:r w:rsidRPr="00BF3A41">
        <w:rPr>
          <w:b/>
          <w:sz w:val="26"/>
          <w:szCs w:val="26"/>
        </w:rPr>
        <w:t>целевы</w:t>
      </w:r>
      <w:r>
        <w:rPr>
          <w:b/>
          <w:sz w:val="26"/>
          <w:szCs w:val="26"/>
        </w:rPr>
        <w:t>х</w:t>
      </w:r>
      <w:r w:rsidRPr="00BF3A41">
        <w:rPr>
          <w:b/>
          <w:sz w:val="26"/>
          <w:szCs w:val="26"/>
        </w:rPr>
        <w:t xml:space="preserve"> значени</w:t>
      </w:r>
      <w:r>
        <w:rPr>
          <w:b/>
          <w:sz w:val="26"/>
          <w:szCs w:val="26"/>
        </w:rPr>
        <w:t xml:space="preserve">й </w:t>
      </w:r>
      <w:r w:rsidRPr="003D17A6">
        <w:rPr>
          <w:b/>
          <w:sz w:val="26"/>
          <w:szCs w:val="26"/>
        </w:rPr>
        <w:t xml:space="preserve">на территории </w:t>
      </w:r>
      <w:proofErr w:type="spellStart"/>
      <w:r w:rsidRPr="003D17A6">
        <w:rPr>
          <w:b/>
          <w:sz w:val="26"/>
          <w:szCs w:val="26"/>
        </w:rPr>
        <w:t>Яко</w:t>
      </w:r>
      <w:r>
        <w:rPr>
          <w:b/>
          <w:sz w:val="26"/>
          <w:szCs w:val="26"/>
        </w:rPr>
        <w:t>влевского</w:t>
      </w:r>
      <w:proofErr w:type="spellEnd"/>
      <w:r>
        <w:rPr>
          <w:b/>
          <w:sz w:val="26"/>
          <w:szCs w:val="26"/>
        </w:rPr>
        <w:t xml:space="preserve"> муниципального округа</w:t>
      </w:r>
    </w:p>
    <w:p w:rsidR="00F751C9" w:rsidRPr="00BF3A41" w:rsidRDefault="00F751C9" w:rsidP="00F751C9">
      <w:pPr>
        <w:ind w:firstLine="709"/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6217"/>
        <w:gridCol w:w="2733"/>
      </w:tblGrid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№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bCs/>
                <w:sz w:val="26"/>
                <w:szCs w:val="26"/>
              </w:rPr>
              <w:t>Наименование ключевого показателя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 xml:space="preserve">Целевое значение </w:t>
            </w:r>
            <w:r w:rsidRPr="00F95667">
              <w:rPr>
                <w:bCs/>
                <w:sz w:val="26"/>
                <w:szCs w:val="26"/>
              </w:rPr>
              <w:t>ключевого показателя, %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1.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устраненных нарушений из числа выявленных нарушений жилищного законодательства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2.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обоснованных жалоб на действия (бездействие) органа муниципального жилищного контроля и (или) его должностного лица при проведении контрольных мероприятий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3.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отмененных результатов контрольных мероприятий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4.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5.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6.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Процент отмененных предписаний об устранении нарушений обязательных требований выданных органом муниципального жилищного контроля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7.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Доля отмененных в судебном порядке результатов контрольных мероприятий.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 w:rsidRPr="00F95667">
              <w:rPr>
                <w:sz w:val="26"/>
                <w:szCs w:val="26"/>
              </w:rPr>
              <w:t>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E658D5">
              <w:rPr>
                <w:sz w:val="26"/>
                <w:szCs w:val="26"/>
              </w:rPr>
              <w:t>Число погибших в результате ненадлежащего содержания муниципального жилого фонда (количество человек)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751C9" w:rsidRPr="00F95667" w:rsidTr="00653257">
        <w:tc>
          <w:tcPr>
            <w:tcW w:w="630" w:type="dxa"/>
            <w:shd w:val="clear" w:color="auto" w:fill="auto"/>
          </w:tcPr>
          <w:p w:rsidR="00F751C9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</w:p>
          <w:p w:rsidR="00F751C9" w:rsidRPr="00E658D5" w:rsidRDefault="00F751C9" w:rsidP="006532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6424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both"/>
              <w:rPr>
                <w:sz w:val="26"/>
                <w:szCs w:val="26"/>
              </w:rPr>
            </w:pPr>
            <w:r w:rsidRPr="00E658D5">
              <w:rPr>
                <w:sz w:val="26"/>
                <w:szCs w:val="26"/>
              </w:rPr>
              <w:t>Число потерпевших, получивших тяжкий вред (ущерб) здоровью в результате ненадлежащего содержания муниципального имущества (количество человек)</w:t>
            </w:r>
          </w:p>
        </w:tc>
        <w:tc>
          <w:tcPr>
            <w:tcW w:w="2800" w:type="dxa"/>
            <w:shd w:val="clear" w:color="auto" w:fill="auto"/>
          </w:tcPr>
          <w:p w:rsidR="00F751C9" w:rsidRPr="00F95667" w:rsidRDefault="00F751C9" w:rsidP="00653257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F751C9" w:rsidRDefault="00F751C9" w:rsidP="00F751C9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>.2024 №</w:t>
      </w:r>
      <w:r>
        <w:rPr>
          <w:sz w:val="24"/>
          <w:szCs w:val="24"/>
        </w:rPr>
        <w:t xml:space="preserve"> 267</w:t>
      </w:r>
      <w:r w:rsidRPr="00182BF0">
        <w:rPr>
          <w:sz w:val="24"/>
          <w:szCs w:val="24"/>
        </w:rPr>
        <w:t xml:space="preserve"> - НПА</w:t>
      </w: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Pr="001A13FB" w:rsidRDefault="00F751C9" w:rsidP="00F751C9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Перечень и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>ндикативны</w:t>
      </w:r>
      <w:r>
        <w:rPr>
          <w:rFonts w:ascii="Times New Roman" w:hAnsi="Times New Roman"/>
          <w:b/>
          <w:sz w:val="26"/>
          <w:szCs w:val="26"/>
          <w:lang w:val="ru-RU"/>
        </w:rPr>
        <w:t>х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показател</w:t>
      </w:r>
      <w:r>
        <w:rPr>
          <w:rFonts w:ascii="Times New Roman" w:hAnsi="Times New Roman"/>
          <w:b/>
          <w:sz w:val="26"/>
          <w:szCs w:val="26"/>
          <w:lang w:val="ru-RU"/>
        </w:rPr>
        <w:t>ей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ru-RU"/>
        </w:rPr>
        <w:t>для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муниципально</w:t>
      </w:r>
      <w:r>
        <w:rPr>
          <w:rFonts w:ascii="Times New Roman" w:hAnsi="Times New Roman"/>
          <w:b/>
          <w:sz w:val="26"/>
          <w:szCs w:val="26"/>
          <w:lang w:val="ru-RU"/>
        </w:rPr>
        <w:t>го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жилищно</w:t>
      </w:r>
      <w:r>
        <w:rPr>
          <w:rFonts w:ascii="Times New Roman" w:hAnsi="Times New Roman"/>
          <w:b/>
          <w:sz w:val="26"/>
          <w:szCs w:val="26"/>
          <w:lang w:val="ru-RU"/>
        </w:rPr>
        <w:t>го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контрол</w:t>
      </w:r>
      <w:r>
        <w:rPr>
          <w:rFonts w:ascii="Times New Roman" w:hAnsi="Times New Roman"/>
          <w:b/>
          <w:sz w:val="26"/>
          <w:szCs w:val="26"/>
          <w:lang w:val="ru-RU"/>
        </w:rPr>
        <w:t>я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 на территории </w:t>
      </w:r>
      <w:proofErr w:type="spellStart"/>
      <w:r w:rsidRPr="003D17A6">
        <w:rPr>
          <w:rFonts w:ascii="Times New Roman" w:hAnsi="Times New Roman"/>
          <w:b/>
          <w:sz w:val="26"/>
          <w:szCs w:val="26"/>
          <w:lang w:val="ru-RU"/>
        </w:rPr>
        <w:t>Яко</w:t>
      </w:r>
      <w:r>
        <w:rPr>
          <w:rFonts w:ascii="Times New Roman" w:hAnsi="Times New Roman"/>
          <w:b/>
          <w:sz w:val="26"/>
          <w:szCs w:val="26"/>
          <w:lang w:val="ru-RU"/>
        </w:rPr>
        <w:t>влевского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округа</w:t>
      </w:r>
    </w:p>
    <w:p w:rsidR="00F751C9" w:rsidRDefault="00F751C9" w:rsidP="00F751C9">
      <w:pPr>
        <w:ind w:left="5387"/>
        <w:jc w:val="center"/>
        <w:rPr>
          <w:szCs w:val="24"/>
        </w:rPr>
      </w:pP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1. Количество контрольных мероприятий, проведенных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 xml:space="preserve">2. Количество </w:t>
      </w:r>
      <w:r>
        <w:rPr>
          <w:rFonts w:ascii="Times New Roman" w:hAnsi="Times New Roman"/>
          <w:sz w:val="26"/>
          <w:szCs w:val="26"/>
          <w:lang w:val="ru-RU"/>
        </w:rPr>
        <w:t xml:space="preserve">внеплановых </w:t>
      </w:r>
      <w:r w:rsidRPr="00BF3A41">
        <w:rPr>
          <w:rFonts w:ascii="Times New Roman" w:hAnsi="Times New Roman"/>
          <w:sz w:val="26"/>
          <w:szCs w:val="26"/>
          <w:lang w:val="ru-RU"/>
        </w:rPr>
        <w:t>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3. Общее количество контрольных мероприятий с взаимодействием, проведенных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 xml:space="preserve">4. Количество контрольных мероприятий с взаимодействием, проведенных </w:t>
      </w:r>
      <w:r w:rsidRPr="00820C65">
        <w:rPr>
          <w:rFonts w:ascii="Times New Roman" w:hAnsi="Times New Roman"/>
          <w:sz w:val="26"/>
          <w:szCs w:val="26"/>
          <w:lang w:val="ru-RU"/>
        </w:rPr>
        <w:t>по каждому виду контрольного мероприятия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F3A41">
        <w:rPr>
          <w:rFonts w:ascii="Times New Roman" w:hAnsi="Times New Roman"/>
          <w:sz w:val="26"/>
          <w:szCs w:val="26"/>
          <w:lang w:val="ru-RU"/>
        </w:rPr>
        <w:t>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5. Количество контрольных мероприятий, проведенных с использованием средств дистанционного взаимодействия,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6</w:t>
      </w:r>
      <w:r w:rsidRPr="00BF3A41">
        <w:rPr>
          <w:rFonts w:ascii="Times New Roman" w:hAnsi="Times New Roman"/>
          <w:sz w:val="26"/>
          <w:szCs w:val="26"/>
          <w:lang w:val="ru-RU"/>
        </w:rPr>
        <w:t xml:space="preserve">. </w:t>
      </w:r>
      <w:r>
        <w:rPr>
          <w:rFonts w:ascii="Times New Roman" w:hAnsi="Times New Roman"/>
          <w:sz w:val="26"/>
          <w:szCs w:val="26"/>
          <w:lang w:val="ru-RU"/>
        </w:rPr>
        <w:t>Общее к</w:t>
      </w:r>
      <w:r w:rsidRPr="00BF3A41">
        <w:rPr>
          <w:rFonts w:ascii="Times New Roman" w:hAnsi="Times New Roman"/>
          <w:sz w:val="26"/>
          <w:szCs w:val="26"/>
          <w:lang w:val="ru-RU"/>
        </w:rPr>
        <w:t xml:space="preserve">оличество </w:t>
      </w:r>
      <w:r>
        <w:rPr>
          <w:rFonts w:ascii="Times New Roman" w:hAnsi="Times New Roman"/>
          <w:sz w:val="26"/>
          <w:szCs w:val="26"/>
          <w:lang w:val="ru-RU"/>
        </w:rPr>
        <w:t>профилактических мероприятий</w:t>
      </w:r>
      <w:r w:rsidRPr="00BF3A41">
        <w:rPr>
          <w:rFonts w:ascii="Times New Roman" w:hAnsi="Times New Roman"/>
          <w:sz w:val="26"/>
          <w:szCs w:val="26"/>
          <w:lang w:val="ru-RU"/>
        </w:rPr>
        <w:t>, проведенных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7</w:t>
      </w:r>
      <w:r w:rsidRPr="00BF3A41">
        <w:rPr>
          <w:rFonts w:ascii="Times New Roman" w:hAnsi="Times New Roman"/>
          <w:sz w:val="26"/>
          <w:szCs w:val="26"/>
          <w:lang w:val="ru-RU"/>
        </w:rPr>
        <w:t xml:space="preserve">. Количество </w:t>
      </w:r>
      <w:r>
        <w:rPr>
          <w:rFonts w:ascii="Times New Roman" w:hAnsi="Times New Roman"/>
          <w:sz w:val="26"/>
          <w:szCs w:val="26"/>
          <w:lang w:val="ru-RU"/>
        </w:rPr>
        <w:t>профилактических мероприятий, проведенных по каждому виду,</w:t>
      </w:r>
      <w:r w:rsidRPr="00BF3A41">
        <w:rPr>
          <w:rFonts w:ascii="Times New Roman" w:hAnsi="Times New Roman"/>
          <w:sz w:val="26"/>
          <w:szCs w:val="26"/>
          <w:lang w:val="ru-RU"/>
        </w:rPr>
        <w:t xml:space="preserve">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8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контрольных мероприятий, по результатам которых выявлены нарушения обязательных требований,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9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контрольных мероприятий, по итогам которых возбуждены дела об административных правонарушениях,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0</w:t>
      </w:r>
      <w:r w:rsidRPr="00BF3A41">
        <w:rPr>
          <w:rFonts w:ascii="Times New Roman" w:hAnsi="Times New Roman"/>
          <w:sz w:val="26"/>
          <w:szCs w:val="26"/>
          <w:lang w:val="ru-RU"/>
        </w:rPr>
        <w:t>. Сумма административных штрафов, наложенных по результатам контрольных мероприятий,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направленных в органы прокуратуры заявлений о   согласовании проведения контрольных мероприятий,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2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BF3A41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BF3A41">
        <w:rPr>
          <w:rFonts w:ascii="Times New Roman" w:hAnsi="Times New Roman"/>
          <w:sz w:val="26"/>
          <w:szCs w:val="26"/>
          <w:lang w:val="ru-RU"/>
        </w:rPr>
        <w:t>. Общее количество учтенных объектов контроля на конец отчетного периода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учтенных контролируемых лиц на конец отчетного периода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 w:rsidRPr="00BF3A41">
        <w:rPr>
          <w:rFonts w:ascii="Times New Roman" w:hAnsi="Times New Roman"/>
          <w:sz w:val="26"/>
          <w:szCs w:val="26"/>
          <w:lang w:val="ru-RU"/>
        </w:rPr>
        <w:t>1</w:t>
      </w:r>
      <w:r>
        <w:rPr>
          <w:rFonts w:ascii="Times New Roman" w:hAnsi="Times New Roman"/>
          <w:sz w:val="26"/>
          <w:szCs w:val="26"/>
          <w:lang w:val="ru-RU"/>
        </w:rPr>
        <w:t>5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учтенных контролируемых лиц, в отношении которых проведены контрольные мероприятия,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16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Pr="00BF3A41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17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F751C9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18</w:t>
      </w:r>
      <w:r w:rsidRPr="00BF3A41">
        <w:rPr>
          <w:rFonts w:ascii="Times New Roman" w:hAnsi="Times New Roman"/>
          <w:sz w:val="26"/>
          <w:szCs w:val="26"/>
          <w:lang w:val="ru-RU"/>
        </w:rPr>
        <w:t>. Количество контрольных мероприятий,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(ил</w:t>
      </w:r>
      <w:r>
        <w:rPr>
          <w:rFonts w:ascii="Times New Roman" w:hAnsi="Times New Roman"/>
          <w:sz w:val="26"/>
          <w:szCs w:val="26"/>
          <w:lang w:val="ru-RU"/>
        </w:rPr>
        <w:t>и) отменены, за отчетный период.</w:t>
      </w:r>
    </w:p>
    <w:p w:rsidR="00F751C9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F751C9" w:rsidRDefault="00F751C9" w:rsidP="00F751C9">
      <w:pPr>
        <w:pStyle w:val="a3"/>
        <w:rPr>
          <w:rFonts w:ascii="Times New Roman" w:hAnsi="Times New Roman"/>
          <w:sz w:val="26"/>
          <w:szCs w:val="26"/>
          <w:lang w:val="ru-RU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УТВЕРЖДЕН</w:t>
      </w:r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 xml:space="preserve">решением Думы </w:t>
      </w:r>
      <w:proofErr w:type="spellStart"/>
      <w:r w:rsidRPr="00182BF0">
        <w:rPr>
          <w:sz w:val="24"/>
          <w:szCs w:val="24"/>
        </w:rPr>
        <w:t>Яковлевского</w:t>
      </w:r>
      <w:proofErr w:type="spellEnd"/>
    </w:p>
    <w:p w:rsidR="00F751C9" w:rsidRPr="00182BF0" w:rsidRDefault="00F751C9" w:rsidP="00F751C9">
      <w:pPr>
        <w:widowControl w:val="0"/>
        <w:ind w:left="5812"/>
        <w:rPr>
          <w:sz w:val="24"/>
          <w:szCs w:val="24"/>
        </w:rPr>
      </w:pPr>
      <w:r w:rsidRPr="00182BF0">
        <w:rPr>
          <w:sz w:val="24"/>
          <w:szCs w:val="24"/>
        </w:rPr>
        <w:t>муниципального округа</w:t>
      </w:r>
    </w:p>
    <w:p w:rsidR="00F751C9" w:rsidRDefault="00F751C9" w:rsidP="00F751C9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82BF0">
        <w:rPr>
          <w:sz w:val="24"/>
          <w:szCs w:val="24"/>
        </w:rPr>
        <w:t xml:space="preserve">от  </w:t>
      </w:r>
      <w:r>
        <w:rPr>
          <w:sz w:val="24"/>
          <w:szCs w:val="24"/>
        </w:rPr>
        <w:t>26.03</w:t>
      </w:r>
      <w:r w:rsidRPr="00182BF0">
        <w:rPr>
          <w:sz w:val="24"/>
          <w:szCs w:val="24"/>
        </w:rPr>
        <w:t>.2024 №</w:t>
      </w:r>
      <w:r>
        <w:rPr>
          <w:sz w:val="24"/>
          <w:szCs w:val="24"/>
        </w:rPr>
        <w:t xml:space="preserve"> 267</w:t>
      </w:r>
      <w:r w:rsidRPr="00182BF0">
        <w:rPr>
          <w:sz w:val="24"/>
          <w:szCs w:val="24"/>
        </w:rPr>
        <w:t xml:space="preserve"> - НПА</w:t>
      </w: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П</w:t>
      </w:r>
      <w:r w:rsidRPr="00F9150E">
        <w:rPr>
          <w:rFonts w:ascii="Times New Roman" w:hAnsi="Times New Roman"/>
          <w:b/>
          <w:sz w:val="26"/>
          <w:szCs w:val="26"/>
          <w:lang w:val="ru-RU"/>
        </w:rPr>
        <w:t xml:space="preserve">еречень индикаторов риска нарушения обязательных требований </w:t>
      </w:r>
      <w:r>
        <w:rPr>
          <w:rFonts w:ascii="Times New Roman" w:hAnsi="Times New Roman"/>
          <w:b/>
          <w:sz w:val="26"/>
          <w:szCs w:val="26"/>
          <w:lang w:val="ru-RU"/>
        </w:rPr>
        <w:t>при</w:t>
      </w:r>
      <w:r w:rsidRPr="00F9150E">
        <w:rPr>
          <w:rFonts w:ascii="Times New Roman" w:hAnsi="Times New Roman"/>
          <w:b/>
          <w:sz w:val="26"/>
          <w:szCs w:val="26"/>
          <w:lang w:val="ru-RU"/>
        </w:rPr>
        <w:t xml:space="preserve"> осуществлени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и муниципального жилищного контроля </w:t>
      </w:r>
      <w:r w:rsidRPr="003D17A6">
        <w:rPr>
          <w:rFonts w:ascii="Times New Roman" w:hAnsi="Times New Roman"/>
          <w:b/>
          <w:sz w:val="26"/>
          <w:szCs w:val="26"/>
          <w:lang w:val="ru-RU"/>
        </w:rPr>
        <w:t xml:space="preserve">на территории </w:t>
      </w:r>
      <w:proofErr w:type="spellStart"/>
      <w:r w:rsidRPr="003D17A6">
        <w:rPr>
          <w:rFonts w:ascii="Times New Roman" w:hAnsi="Times New Roman"/>
          <w:b/>
          <w:sz w:val="26"/>
          <w:szCs w:val="26"/>
          <w:lang w:val="ru-RU"/>
        </w:rPr>
        <w:t>Яко</w:t>
      </w:r>
      <w:r>
        <w:rPr>
          <w:rFonts w:ascii="Times New Roman" w:hAnsi="Times New Roman"/>
          <w:b/>
          <w:sz w:val="26"/>
          <w:szCs w:val="26"/>
          <w:lang w:val="ru-RU"/>
        </w:rPr>
        <w:t>влевского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 xml:space="preserve"> муниципального округа</w:t>
      </w: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F751C9" w:rsidRPr="007200E6" w:rsidRDefault="00F751C9" w:rsidP="00F751C9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200E6">
        <w:rPr>
          <w:bCs/>
          <w:sz w:val="26"/>
          <w:szCs w:val="26"/>
        </w:rPr>
        <w:t xml:space="preserve">1. </w:t>
      </w:r>
      <w:proofErr w:type="gramStart"/>
      <w:r w:rsidRPr="007200E6">
        <w:rPr>
          <w:bCs/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7200E6">
        <w:rPr>
          <w:bCs/>
          <w:sz w:val="26"/>
          <w:szCs w:val="26"/>
        </w:rPr>
        <w:t xml:space="preserve">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</w:t>
      </w:r>
      <w:hyperlink r:id="rId8" w:history="1">
        <w:r w:rsidRPr="007200E6">
          <w:rPr>
            <w:bCs/>
            <w:sz w:val="26"/>
            <w:szCs w:val="26"/>
          </w:rPr>
          <w:t>частью 1 статьи 20</w:t>
        </w:r>
      </w:hyperlink>
      <w:r w:rsidRPr="007200E6">
        <w:rPr>
          <w:bCs/>
          <w:sz w:val="26"/>
          <w:szCs w:val="26"/>
        </w:rPr>
        <w:t xml:space="preserve"> Жилищного кодекса Российской Федерации.</w:t>
      </w:r>
    </w:p>
    <w:p w:rsidR="00F751C9" w:rsidRPr="007200E6" w:rsidRDefault="00F751C9" w:rsidP="00F751C9">
      <w:pPr>
        <w:autoSpaceDE w:val="0"/>
        <w:autoSpaceDN w:val="0"/>
        <w:adjustRightInd w:val="0"/>
        <w:spacing w:before="260"/>
        <w:ind w:firstLine="540"/>
        <w:jc w:val="both"/>
        <w:rPr>
          <w:bCs/>
          <w:sz w:val="26"/>
          <w:szCs w:val="26"/>
        </w:rPr>
      </w:pPr>
      <w:r w:rsidRPr="007200E6">
        <w:rPr>
          <w:bCs/>
          <w:sz w:val="26"/>
          <w:szCs w:val="26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9" w:history="1">
        <w:r w:rsidRPr="007200E6">
          <w:rPr>
            <w:bCs/>
            <w:sz w:val="26"/>
            <w:szCs w:val="26"/>
          </w:rPr>
          <w:t>частью 5 статьи 165</w:t>
        </w:r>
      </w:hyperlink>
      <w:r w:rsidRPr="007200E6">
        <w:rPr>
          <w:bCs/>
          <w:sz w:val="26"/>
          <w:szCs w:val="26"/>
        </w:rPr>
        <w:t xml:space="preserve"> Жилищного кодекса Российской Федерации.</w:t>
      </w: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751C9" w:rsidRDefault="00F751C9" w:rsidP="00F751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source han sans cn 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C9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7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с отступом"/>
    <w:basedOn w:val="a"/>
    <w:rsid w:val="00F751C9"/>
    <w:pPr>
      <w:widowControl w:val="0"/>
      <w:ind w:firstLine="709"/>
      <w:jc w:val="both"/>
    </w:pPr>
    <w:rPr>
      <w:rFonts w:ascii="PT Astra Serif" w:eastAsia="source han sans cn regular" w:hAnsi="PT Astra Serif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с отступом"/>
    <w:basedOn w:val="a"/>
    <w:rsid w:val="00F751C9"/>
    <w:pPr>
      <w:widowControl w:val="0"/>
      <w:ind w:firstLine="709"/>
      <w:jc w:val="both"/>
    </w:pPr>
    <w:rPr>
      <w:rFonts w:ascii="PT Astra Serif" w:eastAsia="source han sans cn regular" w:hAnsi="PT Astra Serif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&amp;dst=1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9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728&amp;dst=10034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908&amp;dst=1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2024-03-26T05:13:00Z</dcterms:created>
  <dcterms:modified xsi:type="dcterms:W3CDTF">2024-03-26T05:14:00Z</dcterms:modified>
</cp:coreProperties>
</file>