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7DF7" w14:textId="5AE36F61" w:rsidR="00200B31" w:rsidRPr="00016313" w:rsidRDefault="00506A28" w:rsidP="008C5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A32776D" w14:textId="77777777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14:paraId="6D1C4C77" w14:textId="607E28CC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в Яковлевском муниципальном </w:t>
      </w:r>
      <w:r w:rsidR="004C4481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65" w:rsidRPr="00016313">
        <w:rPr>
          <w:rFonts w:ascii="Times New Roman" w:hAnsi="Times New Roman" w:cs="Times New Roman"/>
          <w:b/>
          <w:sz w:val="24"/>
          <w:szCs w:val="24"/>
        </w:rPr>
        <w:t>на 01.</w:t>
      </w:r>
      <w:r w:rsidR="00886A38" w:rsidRPr="00016313">
        <w:rPr>
          <w:rFonts w:ascii="Times New Roman" w:hAnsi="Times New Roman" w:cs="Times New Roman"/>
          <w:b/>
          <w:sz w:val="24"/>
          <w:szCs w:val="24"/>
        </w:rPr>
        <w:t>10</w:t>
      </w:r>
      <w:r w:rsidR="00DB7DC9" w:rsidRPr="00016313">
        <w:rPr>
          <w:rFonts w:ascii="Times New Roman" w:hAnsi="Times New Roman" w:cs="Times New Roman"/>
          <w:b/>
          <w:sz w:val="24"/>
          <w:szCs w:val="24"/>
        </w:rPr>
        <w:t>.</w:t>
      </w:r>
      <w:r w:rsidRPr="00016313">
        <w:rPr>
          <w:rFonts w:ascii="Times New Roman" w:hAnsi="Times New Roman" w:cs="Times New Roman"/>
          <w:b/>
          <w:sz w:val="24"/>
          <w:szCs w:val="24"/>
        </w:rPr>
        <w:t>202</w:t>
      </w:r>
      <w:r w:rsidR="00F57765" w:rsidRPr="00016313">
        <w:rPr>
          <w:rFonts w:ascii="Times New Roman" w:hAnsi="Times New Roman" w:cs="Times New Roman"/>
          <w:b/>
          <w:sz w:val="24"/>
          <w:szCs w:val="24"/>
        </w:rPr>
        <w:t>4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AE5016" w14:textId="77777777" w:rsidR="00200B31" w:rsidRPr="00016313" w:rsidRDefault="00200B31" w:rsidP="0001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134"/>
        <w:gridCol w:w="5034"/>
      </w:tblGrid>
      <w:tr w:rsidR="00200B31" w:rsidRPr="00016313" w14:paraId="5C0B3E8F" w14:textId="77777777" w:rsidTr="004118FE">
        <w:tc>
          <w:tcPr>
            <w:tcW w:w="709" w:type="dxa"/>
            <w:shd w:val="clear" w:color="auto" w:fill="auto"/>
          </w:tcPr>
          <w:p w14:paraId="47435AB2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4" w:type="dxa"/>
            <w:shd w:val="clear" w:color="auto" w:fill="auto"/>
          </w:tcPr>
          <w:p w14:paraId="7DFB3E7E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Товарные рынки</w:t>
            </w:r>
          </w:p>
        </w:tc>
        <w:tc>
          <w:tcPr>
            <w:tcW w:w="5034" w:type="dxa"/>
            <w:shd w:val="clear" w:color="auto" w:fill="auto"/>
          </w:tcPr>
          <w:p w14:paraId="2A997431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00B31" w:rsidRPr="00016313" w14:paraId="420717F0" w14:textId="77777777" w:rsidTr="004118FE">
        <w:tc>
          <w:tcPr>
            <w:tcW w:w="709" w:type="dxa"/>
            <w:shd w:val="clear" w:color="auto" w:fill="auto"/>
          </w:tcPr>
          <w:p w14:paraId="366BEE15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14:paraId="6599785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детей.</w:t>
            </w:r>
          </w:p>
        </w:tc>
        <w:tc>
          <w:tcPr>
            <w:tcW w:w="5034" w:type="dxa"/>
            <w:shd w:val="clear" w:color="auto" w:fill="auto"/>
          </w:tcPr>
          <w:p w14:paraId="4BA9895A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00B31" w:rsidRPr="00016313" w14:paraId="33AD86D6" w14:textId="77777777" w:rsidTr="004118FE">
        <w:tc>
          <w:tcPr>
            <w:tcW w:w="709" w:type="dxa"/>
            <w:shd w:val="clear" w:color="auto" w:fill="auto"/>
          </w:tcPr>
          <w:p w14:paraId="252E2EA7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14:paraId="77C075AF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5034" w:type="dxa"/>
            <w:shd w:val="clear" w:color="auto" w:fill="auto"/>
          </w:tcPr>
          <w:p w14:paraId="2D6FC38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BF4974B" w14:textId="77777777" w:rsidTr="004118FE">
        <w:tc>
          <w:tcPr>
            <w:tcW w:w="709" w:type="dxa"/>
            <w:shd w:val="clear" w:color="auto" w:fill="auto"/>
          </w:tcPr>
          <w:p w14:paraId="231A8354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14:paraId="4B2D0136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5034" w:type="dxa"/>
            <w:shd w:val="clear" w:color="auto" w:fill="auto"/>
          </w:tcPr>
          <w:p w14:paraId="18944A56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2D42379" w14:textId="77777777" w:rsidTr="004118FE">
        <w:tc>
          <w:tcPr>
            <w:tcW w:w="709" w:type="dxa"/>
            <w:shd w:val="clear" w:color="auto" w:fill="auto"/>
          </w:tcPr>
          <w:p w14:paraId="415CC7C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14:paraId="1F67F0BC" w14:textId="77777777" w:rsidR="00200B31" w:rsidRPr="00016313" w:rsidRDefault="00200B31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5034" w:type="dxa"/>
            <w:shd w:val="clear" w:color="auto" w:fill="auto"/>
          </w:tcPr>
          <w:p w14:paraId="718B29E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200B31" w:rsidRPr="00016313" w14:paraId="536AF628" w14:textId="77777777" w:rsidTr="004118FE">
        <w:tc>
          <w:tcPr>
            <w:tcW w:w="709" w:type="dxa"/>
            <w:shd w:val="clear" w:color="auto" w:fill="auto"/>
          </w:tcPr>
          <w:p w14:paraId="1F617941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34" w:type="dxa"/>
            <w:shd w:val="clear" w:color="auto" w:fill="auto"/>
          </w:tcPr>
          <w:p w14:paraId="7975711A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</w:t>
            </w:r>
            <w:r w:rsidR="00831803"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</w:tcPr>
          <w:p w14:paraId="2980F605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14:paraId="49723C4A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FC1F8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10DD3" w14:textId="77777777" w:rsidR="004118FE" w:rsidRPr="00016313" w:rsidRDefault="004118FE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4379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56167" w14:textId="4CB3843C" w:rsidR="00395181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AC697" w14:textId="7E615476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22940" w14:textId="77777777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55200" w14:textId="77777777" w:rsidR="00016313" w:rsidRPr="00016313" w:rsidRDefault="00016313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B491" w14:textId="77777777" w:rsidR="00395181" w:rsidRPr="00016313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9D3CE" w14:textId="77777777" w:rsidR="006A3E6F" w:rsidRPr="00016313" w:rsidRDefault="006A3E6F" w:rsidP="00016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F30FF" w14:textId="51746DA3" w:rsidR="00D17D9E" w:rsidRPr="00016313" w:rsidRDefault="00D17D9E" w:rsidP="00016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Мероприятия, направленные на развитие конкуренции на товарных рынках в Яковлевском муниципальном </w:t>
      </w:r>
      <w:r w:rsidR="00EC3E2D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</w:p>
    <w:tbl>
      <w:tblPr>
        <w:tblStyle w:val="a3"/>
        <w:tblW w:w="16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5"/>
        <w:gridCol w:w="1960"/>
        <w:gridCol w:w="1417"/>
        <w:gridCol w:w="992"/>
        <w:gridCol w:w="851"/>
        <w:gridCol w:w="1389"/>
        <w:gridCol w:w="2155"/>
        <w:gridCol w:w="4252"/>
        <w:gridCol w:w="25"/>
      </w:tblGrid>
      <w:tr w:rsidR="004118FE" w:rsidRPr="00016313" w14:paraId="27E1AC2E" w14:textId="77777777" w:rsidTr="008C57B7">
        <w:trPr>
          <w:gridAfter w:val="1"/>
          <w:wAfter w:w="25" w:type="dxa"/>
        </w:trPr>
        <w:tc>
          <w:tcPr>
            <w:tcW w:w="680" w:type="dxa"/>
            <w:vMerge w:val="restart"/>
          </w:tcPr>
          <w:p w14:paraId="57B77217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33A0B2D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показателя/ мероприятия</w:t>
            </w:r>
          </w:p>
        </w:tc>
        <w:tc>
          <w:tcPr>
            <w:tcW w:w="1985" w:type="dxa"/>
            <w:gridSpan w:val="2"/>
            <w:vMerge w:val="restart"/>
          </w:tcPr>
          <w:p w14:paraId="36F913A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17" w:type="dxa"/>
            <w:vMerge w:val="restart"/>
          </w:tcPr>
          <w:p w14:paraId="0C73E70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</w:t>
            </w:r>
            <w:r w:rsidR="0096131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32" w:type="dxa"/>
            <w:gridSpan w:val="3"/>
          </w:tcPr>
          <w:p w14:paraId="5573C174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55" w:type="dxa"/>
            <w:vMerge w:val="restart"/>
          </w:tcPr>
          <w:p w14:paraId="54D14FEA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2" w:type="dxa"/>
            <w:vMerge w:val="restart"/>
          </w:tcPr>
          <w:p w14:paraId="7CF39680" w14:textId="77777777" w:rsidR="009F36F2" w:rsidRPr="00016313" w:rsidRDefault="004118FE" w:rsidP="00016313">
            <w:pPr>
              <w:tabs>
                <w:tab w:val="left" w:pos="0"/>
              </w:tabs>
              <w:ind w:right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F36F2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320717" w:rsidRPr="00016313" w14:paraId="2B37EC26" w14:textId="77777777" w:rsidTr="008C57B7">
        <w:trPr>
          <w:gridAfter w:val="1"/>
          <w:wAfter w:w="25" w:type="dxa"/>
        </w:trPr>
        <w:tc>
          <w:tcPr>
            <w:tcW w:w="680" w:type="dxa"/>
            <w:vMerge/>
          </w:tcPr>
          <w:p w14:paraId="179727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E524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DC809B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28D612" w14:textId="77777777" w:rsidR="009F36F2" w:rsidRPr="00016313" w:rsidRDefault="009F36F2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9334D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3921E4BE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645129B5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14:paraId="18B9F90C" w14:textId="7331C0BD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6943B3" w:rsidRPr="000163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55" w:type="dxa"/>
            <w:vMerge/>
          </w:tcPr>
          <w:p w14:paraId="3193F13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39A8DA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76A3B9E" w14:textId="77777777" w:rsidTr="008C57B7">
        <w:tc>
          <w:tcPr>
            <w:tcW w:w="3115" w:type="dxa"/>
            <w:gridSpan w:val="3"/>
          </w:tcPr>
          <w:p w14:paraId="1B6B2A0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7938E9B2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 Рынок услуг дополнительного образования детей</w:t>
            </w:r>
          </w:p>
        </w:tc>
      </w:tr>
      <w:tr w:rsidR="009F36F2" w:rsidRPr="00016313" w14:paraId="2D67B079" w14:textId="77777777" w:rsidTr="008C57B7">
        <w:tc>
          <w:tcPr>
            <w:tcW w:w="3115" w:type="dxa"/>
            <w:gridSpan w:val="3"/>
          </w:tcPr>
          <w:p w14:paraId="617DC9E1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1B6A065" w14:textId="77777777" w:rsidR="009F36F2" w:rsidRPr="00016313" w:rsidRDefault="009F36F2" w:rsidP="00016313">
            <w:pPr>
              <w:ind w:right="1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</w:t>
            </w:r>
          </w:p>
          <w:p w14:paraId="46340C7F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на 01.0</w:t>
            </w:r>
            <w:r w:rsidR="0027243F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.2024 года дополнительное образование в Яковлевском муниципальном округе представлено:</w:t>
            </w:r>
          </w:p>
          <w:p w14:paraId="55D03AC1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образования;</w:t>
            </w:r>
          </w:p>
          <w:p w14:paraId="306AD70E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культуры;</w:t>
            </w:r>
          </w:p>
          <w:p w14:paraId="0DC8FEDE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- 26 субъектов, оказывают услуги дополнительного образования, в том числе 22 из них имеют статус самозанятых, в том числе 3 ИП  оказывающие услуги дополнительного образования;</w:t>
            </w:r>
          </w:p>
          <w:p w14:paraId="72E648C3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- 4 учреждениями, оказывающими услуги дополнительного образования, имеющими иной статус: общеобразовательные.</w:t>
            </w:r>
          </w:p>
          <w:p w14:paraId="078250F0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предоставляется по следующим направления</w:t>
            </w:r>
            <w:r w:rsidR="0096131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: художественной естественно-научной, технической, туристско-краеведческой, физкультурно-спортивной, социально-педагогической для обучающихся в количестве более 1500 человек. Образовательная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 учреждениях ведется на основании лицензий.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3ED" w:rsidRPr="00016313" w14:paraId="0F47AB6B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DE9EF0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2835D39" w14:textId="77777777" w:rsidR="003103ED" w:rsidRPr="00016313" w:rsidRDefault="009B359A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910781">
  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96.55pt" to="213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" strokecolor="black [3040]"/>
              </w:pict>
            </w:r>
            <w:r w:rsidR="003103ED" w:rsidRPr="00016313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985" w:type="dxa"/>
            <w:gridSpan w:val="2"/>
            <w:vMerge w:val="restart"/>
          </w:tcPr>
          <w:p w14:paraId="549C156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2EE8F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7B01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9E0B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04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4009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8859D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CAE7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C4EE" w14:textId="77777777" w:rsidR="00AE3E5B" w:rsidRPr="00016313" w:rsidRDefault="00AE3E5B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3B9D9D1A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8A0C29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Merge w:val="restart"/>
          </w:tcPr>
          <w:p w14:paraId="3A560B0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9" w:type="dxa"/>
            <w:vMerge w:val="restart"/>
          </w:tcPr>
          <w:p w14:paraId="11F1BBCD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  <w:tc>
          <w:tcPr>
            <w:tcW w:w="2155" w:type="dxa"/>
            <w:vMerge w:val="restart"/>
          </w:tcPr>
          <w:p w14:paraId="01BE5A0E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Яковлевского муниципального округа</w:t>
            </w:r>
          </w:p>
          <w:p w14:paraId="7E916F7F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5FC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48A82EEA" w14:textId="77777777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округе обеспечен равный доступ детей к дополнительному образованию. </w:t>
            </w:r>
          </w:p>
          <w:p w14:paraId="771CB3F3" w14:textId="77777777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22 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      </w:r>
          </w:p>
          <w:p w14:paraId="15198673" w14:textId="77777777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 Яковлевского муниципального округа, официальных сайтах социальных сетей, на страницах газеты «Сельский труженик»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3103ED" w:rsidRPr="00016313" w14:paraId="6860D42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B87DFD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36A32F3F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округа, получающих образовательные услуги в сфере дополнительного </w:t>
            </w:r>
            <w:r w:rsidR="009B35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pict w14:anchorId="3ED9A120">
                <v:line id="Прямая соединительная линия 6" o:spid="_x0000_s103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7.2pt" to="213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ez4QEAANk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" strokecolor="black [3040]"/>
              </w:pic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1985" w:type="dxa"/>
            <w:gridSpan w:val="2"/>
            <w:vMerge/>
          </w:tcPr>
          <w:p w14:paraId="2D584C32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6FD88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D1AB7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AD10C9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869CD5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DF7E9D5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AD27F0D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51E1FCA7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B728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10" w:type="dxa"/>
          </w:tcPr>
          <w:p w14:paraId="3E9290F4" w14:textId="77777777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985" w:type="dxa"/>
            <w:gridSpan w:val="2"/>
            <w:vMerge/>
          </w:tcPr>
          <w:p w14:paraId="17CFBF3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E6EA3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B3D590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14B4C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B680A5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16263F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6A277F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41A981C8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A6611E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</w:tcPr>
          <w:p w14:paraId="3AE89C8E" w14:textId="77777777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семинаров для руководителей коммерческих образовательных организаций,  осуществляющих свою деятельность по программам дополнительного образования по повышению качества  предоставляемых услуг</w:t>
            </w:r>
          </w:p>
        </w:tc>
        <w:tc>
          <w:tcPr>
            <w:tcW w:w="1985" w:type="dxa"/>
            <w:gridSpan w:val="2"/>
          </w:tcPr>
          <w:p w14:paraId="08CAD991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/>
          </w:tcPr>
          <w:p w14:paraId="69094B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9B52B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22793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4752977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C485D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74F20C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36C9971" w14:textId="77777777" w:rsidTr="008C57B7">
        <w:tc>
          <w:tcPr>
            <w:tcW w:w="3115" w:type="dxa"/>
            <w:gridSpan w:val="3"/>
          </w:tcPr>
          <w:p w14:paraId="1EE4A96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5449749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 Рынок выполнения работ по содержанию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9F36F2" w:rsidRPr="00016313" w14:paraId="5C6FF907" w14:textId="77777777" w:rsidTr="008C57B7">
        <w:tc>
          <w:tcPr>
            <w:tcW w:w="3115" w:type="dxa"/>
            <w:gridSpan w:val="3"/>
          </w:tcPr>
          <w:p w14:paraId="284780A9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A1F8991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 на 01.0</w:t>
            </w:r>
            <w:r w:rsidR="0027243F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6ED6608" w14:textId="77777777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На территории Яковлевского муниципального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расположено 48 многоквартирных домов. Без учета МКД военных городков. Управление жилищным фондом осуществляет 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управляющие компании (ООО УК «СпасскЖилСервис» и ООО «Лига-ДВ»), ТСН «Центральное» и МКД с непосредственным управлением, с заключением договоров на проведение работ по обслуживанию МКД. ООО «Водоканал-Сервис».   Доля жилищного фонда, находящегося в управлении частных компаний составляет 100% от общего количества многоквартирных домов Яковлевского муниципального округа.  </w:t>
            </w:r>
          </w:p>
        </w:tc>
      </w:tr>
      <w:tr w:rsidR="00A02771" w:rsidRPr="00016313" w14:paraId="6C9EACD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EB15D4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410" w:type="dxa"/>
          </w:tcPr>
          <w:p w14:paraId="05536D0B" w14:textId="77777777" w:rsidR="00A02771" w:rsidRPr="00016313" w:rsidRDefault="00A0277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Сохранение доли организаций частной формы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C8AFE1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2B426996" w14:textId="77777777" w:rsidR="00A02771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DD96002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</w:tcPr>
          <w:p w14:paraId="0744EF4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vMerge w:val="restart"/>
          </w:tcPr>
          <w:p w14:paraId="7A9BC29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5" w:type="dxa"/>
            <w:vMerge w:val="restart"/>
          </w:tcPr>
          <w:p w14:paraId="44841DBA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B753586" w14:textId="77777777" w:rsidR="00A02771" w:rsidRPr="00016313" w:rsidRDefault="00EC7CB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02771" w:rsidRPr="00016313">
              <w:rPr>
                <w:rFonts w:ascii="Times New Roman" w:hAnsi="Times New Roman" w:cs="Times New Roman"/>
                <w:sz w:val="24"/>
                <w:szCs w:val="24"/>
              </w:rPr>
              <w:t>изнеобеспечения Администрации Яковлевского муниципального округа</w:t>
            </w:r>
          </w:p>
        </w:tc>
        <w:tc>
          <w:tcPr>
            <w:tcW w:w="4252" w:type="dxa"/>
            <w:vMerge w:val="restart"/>
          </w:tcPr>
          <w:p w14:paraId="7A931E0F" w14:textId="27BD2740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Доля жилищного фонда, находящегося в управлении частных</w:t>
            </w:r>
            <w:r w:rsidR="006943B3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компаний составляет 100% от общего количества многоквартирных домов Яковлевского муниципального </w:t>
            </w:r>
            <w:r w:rsidR="0027243F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5111E" w14:textId="77777777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тесно сотрудничает с управляющими компаниями и обслуживающими организациями, осуществляющими деятельность в округе. </w:t>
            </w:r>
          </w:p>
        </w:tc>
      </w:tr>
      <w:tr w:rsidR="00A02771" w:rsidRPr="00016313" w14:paraId="26ACD27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1E59F1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10" w:type="dxa"/>
          </w:tcPr>
          <w:p w14:paraId="7BA1E223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реестра организаций по управлению  многоквартирными домами в муниципальном округе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C6D53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593869B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25B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929A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15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57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5CD8" w14:textId="77777777" w:rsidR="00A02771" w:rsidRPr="00016313" w:rsidRDefault="009B359A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E072A7B">
                <v:line id="Прямая соединительная линия 1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55pt" to="9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f4w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" strokecolor="#4579b8 [3044]"/>
              </w:pict>
            </w:r>
          </w:p>
          <w:p w14:paraId="10BEBBD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8D3D8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/>
          </w:tcPr>
          <w:p w14:paraId="1F23A37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41F2B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08C4A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716CE54D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9A5A25F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25309D3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71" w:rsidRPr="00016313" w14:paraId="29A14771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F13383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14:paraId="2F612C31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округе об изменении действующего  законодательства в данной сфере 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DE917D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4443E3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ED187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D014C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ABABD49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8FC77EE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891BA35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CF2D5A6" w14:textId="77777777" w:rsidTr="008C57B7">
        <w:tc>
          <w:tcPr>
            <w:tcW w:w="3115" w:type="dxa"/>
            <w:gridSpan w:val="3"/>
          </w:tcPr>
          <w:p w14:paraId="2B3E78C4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16ABD252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 Рынок оказания услуг по перевозке пассажиров автомобильным транспортом</w:t>
            </w:r>
          </w:p>
          <w:p w14:paraId="58B0427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9F36F2" w:rsidRPr="00016313" w14:paraId="03618435" w14:textId="77777777" w:rsidTr="008C57B7">
        <w:tc>
          <w:tcPr>
            <w:tcW w:w="3115" w:type="dxa"/>
            <w:gridSpan w:val="3"/>
          </w:tcPr>
          <w:p w14:paraId="0AFB3C44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6343B306" w14:textId="35BD6599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AE7E49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4 года</w:t>
            </w:r>
          </w:p>
          <w:p w14:paraId="3737E178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отчетную дату муниципальные маршруты пассажирского автомобильного транспорта в Яковлевском муниципальном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отсутствуют. Доля рынка пассажирских перевозок на территории Яковлевского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негосударственными организациями составляет 100%.</w:t>
            </w:r>
          </w:p>
          <w:p w14:paraId="75D18ED5" w14:textId="77777777" w:rsidR="009F36F2" w:rsidRPr="00016313" w:rsidRDefault="009F36F2" w:rsidP="000163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перевозками пассажиров и багажа занимаются в том числе таксомоторные фирмы – «Такси от Валентина», «Армада» такси «Парус», осуществляющие свою деятельность на территории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(базируются в с. Яковлевка и с. Новосысоевка).</w:t>
            </w:r>
          </w:p>
        </w:tc>
      </w:tr>
      <w:tr w:rsidR="00511082" w:rsidRPr="00016313" w14:paraId="3DD25889" w14:textId="77777777" w:rsidTr="008C57B7">
        <w:trPr>
          <w:gridAfter w:val="1"/>
          <w:wAfter w:w="25" w:type="dxa"/>
          <w:trHeight w:val="4239"/>
        </w:trPr>
        <w:tc>
          <w:tcPr>
            <w:tcW w:w="680" w:type="dxa"/>
          </w:tcPr>
          <w:p w14:paraId="4F199E6C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10" w:type="dxa"/>
          </w:tcPr>
          <w:p w14:paraId="24DF85C7" w14:textId="77777777" w:rsidR="00511082" w:rsidRPr="00016313" w:rsidRDefault="009B359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3F59311">
                <v:line id="Прямая соединительная линия 2" o:spid="_x0000_s103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11.7pt" to="213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985" w:type="dxa"/>
            <w:gridSpan w:val="2"/>
            <w:vMerge w:val="restart"/>
          </w:tcPr>
          <w:p w14:paraId="2E1BF66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1C81EA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2C6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8B0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055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181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38F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229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FACE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7A6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1C96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656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1C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91D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AC7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5772419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5C4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291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F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089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977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54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4FD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6377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 2022-2025</w:t>
            </w:r>
          </w:p>
        </w:tc>
        <w:tc>
          <w:tcPr>
            <w:tcW w:w="1417" w:type="dxa"/>
            <w:vMerge w:val="restart"/>
          </w:tcPr>
          <w:p w14:paraId="4C2C91D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64E3B52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0EA88C8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7323F33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4535FBC4" w14:textId="26017168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 Администрации Яковлевского муниципального округа</w:t>
            </w:r>
          </w:p>
          <w:p w14:paraId="43085B0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298162C" w14:textId="20685BCE" w:rsidR="00511082" w:rsidRPr="00016313" w:rsidRDefault="00511082" w:rsidP="0054571A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6313">
              <w:rPr>
                <w:sz w:val="24"/>
                <w:szCs w:val="24"/>
              </w:rPr>
              <w:t xml:space="preserve"> В </w:t>
            </w:r>
            <w:r w:rsidR="00AE7E49" w:rsidRPr="00016313">
              <w:rPr>
                <w:sz w:val="24"/>
                <w:szCs w:val="24"/>
              </w:rPr>
              <w:t>3</w:t>
            </w:r>
            <w:r w:rsidRPr="00016313">
              <w:rPr>
                <w:sz w:val="24"/>
                <w:szCs w:val="24"/>
              </w:rPr>
              <w:t xml:space="preserve"> квартале 2024 года осуществля</w:t>
            </w:r>
            <w:r w:rsidR="00AE7E49" w:rsidRPr="00016313">
              <w:rPr>
                <w:sz w:val="24"/>
                <w:szCs w:val="24"/>
              </w:rPr>
              <w:t>лись</w:t>
            </w:r>
            <w:r w:rsidRPr="00016313">
              <w:rPr>
                <w:sz w:val="24"/>
                <w:szCs w:val="24"/>
              </w:rPr>
              <w:t xml:space="preserve"> регулярные пассажирские перевозки автомобильным  транспортом по регулируемым тарифам по муниципальным маршрутам № 131М «Бельцово-Яковлевка-Бельцово»,   № 88М «Краснояровка-Яковлевка-Краснояровка»,   № 219М «Старосысоевка-Достоевка-Яковлевка-Достоевка-Старосысоевка», 26М «Яковлевка-Андреевка- Яковлевка» в границах Яковлевского муниципального округа, в соответствии с контрактами  заключенными 12 января 2024 года с  перевозчиком ООО «Автоальянс». </w:t>
            </w:r>
          </w:p>
          <w:p w14:paraId="0F97638A" w14:textId="77777777" w:rsidR="00511082" w:rsidRPr="00016313" w:rsidRDefault="00511082" w:rsidP="000163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11082" w:rsidRPr="00016313" w14:paraId="49B8C7B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99B4A79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6584E177" w14:textId="77777777" w:rsidR="00511082" w:rsidRPr="00016313" w:rsidRDefault="009B359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F17B99B">
                <v:line id="Прямая соединительная линия 3" o:spid="_x0000_s10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7.25pt" to="213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>Мониторинг пассажиропотока и потребностей муниципального района в корректировке существующей маршрутной сети и создание новых маршрутов</w:t>
            </w:r>
          </w:p>
        </w:tc>
        <w:tc>
          <w:tcPr>
            <w:tcW w:w="1985" w:type="dxa"/>
            <w:gridSpan w:val="2"/>
            <w:vMerge/>
          </w:tcPr>
          <w:p w14:paraId="35CA867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9492B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CC4A86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53AF5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479E94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3F738C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4B4C3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82" w:rsidRPr="00016313" w14:paraId="2BE28A96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50D234C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2B3FC82E" w14:textId="77777777" w:rsidR="00511082" w:rsidRPr="00016313" w:rsidRDefault="0051108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на право осуществления перевозок, а также при закупке работ, связанных с осуществлением  регулярных перевозок по регулируемым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</w:t>
            </w:r>
          </w:p>
        </w:tc>
        <w:tc>
          <w:tcPr>
            <w:tcW w:w="1985" w:type="dxa"/>
            <w:gridSpan w:val="2"/>
            <w:vMerge/>
          </w:tcPr>
          <w:p w14:paraId="48EF594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4137C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05F3EF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6BF07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8F4DA8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46F2F1A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86EC0AD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963A796" w14:textId="77777777" w:rsidTr="008C57B7">
        <w:tc>
          <w:tcPr>
            <w:tcW w:w="3115" w:type="dxa"/>
            <w:gridSpan w:val="3"/>
          </w:tcPr>
          <w:p w14:paraId="2CEB58E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BBDBF6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 Рынок услуг розничной торговли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9F36F2" w:rsidRPr="00016313" w14:paraId="3F34A699" w14:textId="77777777" w:rsidTr="008C57B7">
        <w:tc>
          <w:tcPr>
            <w:tcW w:w="3115" w:type="dxa"/>
            <w:gridSpan w:val="3"/>
          </w:tcPr>
          <w:p w14:paraId="1F20D393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9617D14" w14:textId="06D87021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AE7E49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.2024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14:paraId="3C083777" w14:textId="56BC030D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B26287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торговлю лекарственными препаратами и медицинскими средствами  осуществляют четыре аптеки (из них 3 аптеки и аптечный магазин) и один аптечный киоск.   Данный рынок услуг полностью представлен предприятиями и организациями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14:paraId="2244A9D9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округа в розничной аптечной сети представлен широкий спектр лекарственных препаратов и медицинских принадлежностей, в том числе и под заказ. Населенные пункты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где численность постоянно проживающего населения составляет до 300 человек, обеспечение лекарственными препаратами осуществляется в фельдшерско-акушерских пунктах. </w:t>
            </w:r>
          </w:p>
        </w:tc>
      </w:tr>
      <w:tr w:rsidR="00017775" w:rsidRPr="00016313" w14:paraId="4FCFE7AA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1E8215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2153AD58" w14:textId="77777777" w:rsidR="00017775" w:rsidRPr="00016313" w:rsidRDefault="00017775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985" w:type="dxa"/>
            <w:gridSpan w:val="2"/>
            <w:vMerge w:val="restart"/>
          </w:tcPr>
          <w:p w14:paraId="222DDF4A" w14:textId="77777777" w:rsidR="00017775" w:rsidRPr="00016313" w:rsidRDefault="009B359A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C38659E">
                <v:line id="Прямая соединительная линия 7" o:spid="_x0000_s1030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0.85pt" to="93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" strokecolor="black [3040]"/>
              </w:pict>
            </w:r>
            <w:r w:rsidR="00017775"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54DBD6F3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038B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A81C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38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AA0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746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C9E0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4A28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81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29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 w:val="restart"/>
          </w:tcPr>
          <w:p w14:paraId="6A043DB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3FC18D0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7F4BE156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1D10AF5C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24240D80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626C05E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 округа</w:t>
            </w:r>
          </w:p>
        </w:tc>
        <w:tc>
          <w:tcPr>
            <w:tcW w:w="4252" w:type="dxa"/>
            <w:vMerge w:val="restart"/>
          </w:tcPr>
          <w:p w14:paraId="67AE99F5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консультационная информация для субъектов МСП, оказывающим услуги розничной торговли лекарственными препаратами, медицинскими изделиями и сопутствующими товарами регулярно размещается в информационно-коммуникационной сети «Интернет» социальной сети Инстаграмм.   </w:t>
            </w:r>
          </w:p>
          <w:p w14:paraId="3055349B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775" w:rsidRPr="00016313" w14:paraId="0BB174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5F737ED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14:paraId="282970C4" w14:textId="7381D885" w:rsidR="00017775" w:rsidRPr="00016313" w:rsidRDefault="00017775" w:rsidP="00DB1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и консультационной помощи субъектам малого и среднего предпринимательств по организации торговой деятельности и соблюдению 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в сфере торговли  лекарственными препаратами, медицинскими изделиями и сопутствующими товарами </w:t>
            </w:r>
          </w:p>
        </w:tc>
        <w:tc>
          <w:tcPr>
            <w:tcW w:w="1985" w:type="dxa"/>
            <w:gridSpan w:val="2"/>
            <w:vMerge/>
          </w:tcPr>
          <w:p w14:paraId="58D7D7CF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7EFA69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5982AA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F6524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BE5EA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F43211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D583337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2D451118" w14:textId="77777777" w:rsidTr="008C57B7">
        <w:tc>
          <w:tcPr>
            <w:tcW w:w="3115" w:type="dxa"/>
            <w:gridSpan w:val="3"/>
          </w:tcPr>
          <w:p w14:paraId="31D458C6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A5E695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 Рынок розничной торговли</w:t>
            </w:r>
          </w:p>
          <w:p w14:paraId="52FB038B" w14:textId="3AE69D5C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96E4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E7E49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.2024</w:t>
            </w:r>
            <w:r w:rsidR="003C345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2C3D167" w14:textId="77777777" w:rsidR="009F36F2" w:rsidRPr="00016313" w:rsidRDefault="009F36F2" w:rsidP="00016313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016313">
              <w:rPr>
                <w:i/>
                <w:sz w:val="24"/>
                <w:szCs w:val="24"/>
              </w:rPr>
              <w:t xml:space="preserve">Количество магазинов на территории Яковлевского муниципального </w:t>
            </w:r>
            <w:r w:rsidR="003C3458" w:rsidRPr="00016313">
              <w:rPr>
                <w:i/>
                <w:sz w:val="24"/>
                <w:szCs w:val="24"/>
              </w:rPr>
              <w:t>округа</w:t>
            </w:r>
            <w:r w:rsidR="00022B40" w:rsidRPr="00016313">
              <w:rPr>
                <w:i/>
                <w:sz w:val="24"/>
                <w:szCs w:val="24"/>
              </w:rPr>
              <w:t xml:space="preserve">, </w:t>
            </w:r>
            <w:r w:rsidRPr="00016313">
              <w:rPr>
                <w:i/>
                <w:sz w:val="24"/>
                <w:szCs w:val="24"/>
              </w:rPr>
              <w:t>составляет 8</w:t>
            </w:r>
            <w:r w:rsidR="005B4BF5" w:rsidRPr="00016313">
              <w:rPr>
                <w:i/>
                <w:sz w:val="24"/>
                <w:szCs w:val="24"/>
              </w:rPr>
              <w:t>1</w:t>
            </w:r>
            <w:r w:rsidR="00022B40" w:rsidRPr="00016313">
              <w:rPr>
                <w:i/>
                <w:sz w:val="24"/>
                <w:szCs w:val="24"/>
              </w:rPr>
              <w:t>-</w:t>
            </w:r>
            <w:r w:rsidRPr="00016313">
              <w:rPr>
                <w:i/>
                <w:sz w:val="24"/>
                <w:szCs w:val="24"/>
              </w:rPr>
              <w:t xml:space="preserve"> единиц, в том числе </w:t>
            </w:r>
            <w:r w:rsidR="00022B40" w:rsidRPr="00016313">
              <w:rPr>
                <w:i/>
                <w:sz w:val="24"/>
                <w:szCs w:val="24"/>
              </w:rPr>
              <w:t xml:space="preserve">- </w:t>
            </w:r>
            <w:r w:rsidR="005B4BF5" w:rsidRPr="00016313">
              <w:rPr>
                <w:i/>
                <w:sz w:val="24"/>
                <w:szCs w:val="24"/>
              </w:rPr>
              <w:t>3</w:t>
            </w:r>
            <w:r w:rsidRPr="00016313">
              <w:rPr>
                <w:i/>
                <w:sz w:val="24"/>
                <w:szCs w:val="24"/>
              </w:rPr>
              <w:t xml:space="preserve"> специализированных продовольственных магазина, 51</w:t>
            </w:r>
            <w:r w:rsidR="00022B40" w:rsidRPr="00016313">
              <w:rPr>
                <w:i/>
                <w:sz w:val="24"/>
                <w:szCs w:val="24"/>
              </w:rPr>
              <w:t>-</w:t>
            </w:r>
            <w:r w:rsidRPr="00016313">
              <w:rPr>
                <w:i/>
                <w:sz w:val="24"/>
                <w:szCs w:val="24"/>
              </w:rPr>
              <w:t xml:space="preserve"> минимаркет, 18</w:t>
            </w:r>
            <w:r w:rsidR="00022B40" w:rsidRPr="00016313">
              <w:rPr>
                <w:i/>
                <w:sz w:val="24"/>
                <w:szCs w:val="24"/>
              </w:rPr>
              <w:t xml:space="preserve"> -</w:t>
            </w:r>
            <w:r w:rsidRPr="00016313">
              <w:rPr>
                <w:i/>
                <w:sz w:val="24"/>
                <w:szCs w:val="24"/>
              </w:rPr>
              <w:t xml:space="preserve"> прочих магазинов, и </w:t>
            </w:r>
            <w:r w:rsidR="005B4BF5" w:rsidRPr="00016313">
              <w:rPr>
                <w:i/>
                <w:sz w:val="24"/>
                <w:szCs w:val="24"/>
              </w:rPr>
              <w:t>9</w:t>
            </w:r>
            <w:r w:rsidRPr="00016313">
              <w:rPr>
                <w:i/>
                <w:sz w:val="24"/>
                <w:szCs w:val="24"/>
              </w:rPr>
              <w:t xml:space="preserve"> </w:t>
            </w:r>
            <w:r w:rsidR="00022B40" w:rsidRPr="00016313">
              <w:rPr>
                <w:i/>
                <w:sz w:val="24"/>
                <w:szCs w:val="24"/>
              </w:rPr>
              <w:t>-</w:t>
            </w:r>
            <w:r w:rsidRPr="00016313">
              <w:rPr>
                <w:i/>
                <w:sz w:val="24"/>
                <w:szCs w:val="24"/>
              </w:rPr>
              <w:t xml:space="preserve"> специализированных непродовольственных магазина. Торговлю алкогольной продукцией</w:t>
            </w:r>
            <w:r w:rsidR="00022B40" w:rsidRPr="00016313">
              <w:rPr>
                <w:i/>
                <w:sz w:val="24"/>
                <w:szCs w:val="24"/>
              </w:rPr>
              <w:t>,</w:t>
            </w:r>
            <w:r w:rsidRPr="00016313">
              <w:rPr>
                <w:i/>
                <w:sz w:val="24"/>
                <w:szCs w:val="24"/>
              </w:rPr>
              <w:t xml:space="preserve">  осуществля</w:t>
            </w:r>
            <w:r w:rsidR="00022B40" w:rsidRPr="00016313">
              <w:rPr>
                <w:i/>
                <w:sz w:val="24"/>
                <w:szCs w:val="24"/>
              </w:rPr>
              <w:t>е</w:t>
            </w:r>
            <w:r w:rsidRPr="00016313">
              <w:rPr>
                <w:i/>
                <w:sz w:val="24"/>
                <w:szCs w:val="24"/>
              </w:rPr>
              <w:t>т</w:t>
            </w:r>
            <w:r w:rsidR="00022B40" w:rsidRPr="00016313">
              <w:rPr>
                <w:i/>
                <w:sz w:val="24"/>
                <w:szCs w:val="24"/>
              </w:rPr>
              <w:t xml:space="preserve"> - </w:t>
            </w:r>
            <w:r w:rsidRPr="00016313">
              <w:rPr>
                <w:i/>
                <w:sz w:val="24"/>
                <w:szCs w:val="24"/>
              </w:rPr>
              <w:t>3</w:t>
            </w:r>
            <w:r w:rsidR="005B4BF5" w:rsidRPr="00016313">
              <w:rPr>
                <w:i/>
                <w:sz w:val="24"/>
                <w:szCs w:val="24"/>
              </w:rPr>
              <w:t>3</w:t>
            </w:r>
            <w:r w:rsidRPr="00016313">
              <w:rPr>
                <w:i/>
                <w:sz w:val="24"/>
                <w:szCs w:val="24"/>
              </w:rPr>
              <w:t xml:space="preserve">  торговы</w:t>
            </w:r>
            <w:r w:rsidR="00022B40" w:rsidRPr="00016313">
              <w:rPr>
                <w:i/>
                <w:sz w:val="24"/>
                <w:szCs w:val="24"/>
              </w:rPr>
              <w:t>х</w:t>
            </w:r>
            <w:r w:rsidRPr="00016313">
              <w:rPr>
                <w:i/>
                <w:sz w:val="24"/>
                <w:szCs w:val="24"/>
              </w:rPr>
              <w:t xml:space="preserve">  предприятия, в том числе крупные торговые сети – «Дилан», «Винлаб», «Бристоль», «Лоза».</w:t>
            </w:r>
            <w:r w:rsidR="005B4BF5" w:rsidRPr="00016313">
              <w:rPr>
                <w:i/>
                <w:sz w:val="24"/>
                <w:szCs w:val="24"/>
              </w:rPr>
              <w:t xml:space="preserve"> </w:t>
            </w:r>
            <w:r w:rsidR="00080CCB" w:rsidRPr="00016313">
              <w:rPr>
                <w:i/>
                <w:sz w:val="24"/>
                <w:szCs w:val="24"/>
              </w:rPr>
              <w:t xml:space="preserve">Количество павильонов, киосков- 33. Аптек и аптечных магазинов- 4. </w:t>
            </w:r>
          </w:p>
        </w:tc>
      </w:tr>
      <w:tr w:rsidR="00646821" w:rsidRPr="00016313" w14:paraId="02C041D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DAD93CC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14:paraId="170BCDEE" w14:textId="77777777" w:rsidR="00646821" w:rsidRPr="00016313" w:rsidRDefault="00646821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2020 году</w:t>
            </w:r>
          </w:p>
        </w:tc>
        <w:tc>
          <w:tcPr>
            <w:tcW w:w="1985" w:type="dxa"/>
            <w:gridSpan w:val="2"/>
          </w:tcPr>
          <w:p w14:paraId="3AE7EE9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6EB9DDF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6B8634C2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14:paraId="16A2EE71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vMerge w:val="restart"/>
          </w:tcPr>
          <w:p w14:paraId="03A2113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vMerge w:val="restart"/>
          </w:tcPr>
          <w:p w14:paraId="7B7A1163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  Администрации Яковлевского муниципального округа</w:t>
            </w:r>
          </w:p>
          <w:p w14:paraId="14F9F09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38F7A71" w14:textId="28301992" w:rsidR="00051615" w:rsidRPr="00016313" w:rsidRDefault="00051615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связи с прекращением деятельности сельских поселений, и переходом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полномочий по созданию условий развития торговой деятельности в образованный Яковлевский муниципальный округ с 01 января 2024 года,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</w:t>
            </w:r>
            <w:r w:rsidR="00A93FB6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ольшое внимание управлением экономического развития уделяется разработк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A93FB6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нормативно-правовой базы.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Так: </w:t>
            </w:r>
          </w:p>
          <w:p w14:paraId="5851CBD5" w14:textId="240322BC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Постановлением Администрации Яковлевского МО от 26.01.2024 № 38-па утвержден Совет по развитию малого и среднего предпринимательства и улучшению инвестиционного климата в Яковлевском муниципальном округе.</w:t>
            </w:r>
          </w:p>
          <w:p w14:paraId="4259139F" w14:textId="30451360" w:rsidR="00282164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остановлением 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Администрации Яковлевского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01.04.2024 года № 243-па утвер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ждены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требования к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местам размещения, внешнему виду и техническому состоянию нестационарных торговых объектов на территории Яковлевского муниципального округа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65051E64" w14:textId="113CB58D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Решением Думы от 27.02.2024 № 238-НПА утверждено Положение о создании условий для обеспечения жителей Яковлевского муниципального округа. </w:t>
            </w:r>
          </w:p>
          <w:p w14:paraId="610DA355" w14:textId="188A2980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Решением Думы от 27.02.2024 № 239-НПА утверждено Положение о создании условий для обеспечения жителей Яковлевского муниципального округа услугами общественного питания, торговли и бытого обслуживания.</w:t>
            </w:r>
          </w:p>
          <w:p w14:paraId="0766E4F3" w14:textId="02C33612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D57C42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Решением Думы от 26.03.2024 № 261-НПА утверждено Положение о содействии развитию малого и среднего предпринимательства на территории Яковлевского муниципального округа.</w:t>
            </w:r>
          </w:p>
          <w:p w14:paraId="42FE3EED" w14:textId="1A12B934" w:rsidR="00D57C42" w:rsidRPr="00016313" w:rsidRDefault="00D57C42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.П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остановлением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Администрации Яковлевского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01.04.2024 года № 242-па 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утверждена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Схем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размещения нестационарных торговых объектов на территории Яковлевского муниципального округа.</w:t>
            </w:r>
          </w:p>
          <w:p w14:paraId="5B57B610" w14:textId="169E0649" w:rsidR="00D57C42" w:rsidRPr="00016313" w:rsidRDefault="00D57C42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 Постановлением Администрации МО от 01.04.2024 № 2</w:t>
            </w:r>
            <w:r w:rsidR="001458EC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3-па утвержден</w:t>
            </w:r>
            <w:r w:rsidR="001458EC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ы требования к местам размещения, внешнему виду и техническому состоянию нестационарных торговых объектов на </w:t>
            </w:r>
            <w:r w:rsidR="001458EC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территории Яковлевского муниципального округа.</w:t>
            </w:r>
          </w:p>
          <w:p w14:paraId="5073641F" w14:textId="4F192A17" w:rsidR="00282164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8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Постановлением Администрации МО от 16.04.2024 № 293-па утвержден Порядок проведения закрытого аукциона и определения победителя на право включения в Схему размещения </w:t>
            </w:r>
            <w:r w:rsidR="00FD016E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НТО на территории Яковлевского МО.</w:t>
            </w:r>
          </w:p>
          <w:p w14:paraId="13709A90" w14:textId="222ACA56" w:rsidR="001458EC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 Решением Думы от 23.04.2024 № 296-НПА утверждено Положение об оказании поддержки социально ориентированным некоммерческим организациям, осуществляющим свою деятельность на территории Яковлевского муниципального округа.</w:t>
            </w:r>
          </w:p>
          <w:p w14:paraId="75D4D007" w14:textId="4E4D86EC" w:rsidR="0031030A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="0031030A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Постановлением Администрации МО от 15.05.2024 № 355-па утверждены общие требования к внешнему виду и оформлению ярмарок на территории Яковлевского МО.</w:t>
            </w:r>
          </w:p>
          <w:p w14:paraId="003D836C" w14:textId="5DB72A9D" w:rsidR="0031030A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  <w:r w:rsidR="0031030A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Постановлением Администрации МО от 16.05.2024 № 356-па утвержден реестр ярмарочных площадок на территории Яковлевского МО.</w:t>
            </w:r>
          </w:p>
          <w:p w14:paraId="56EAA831" w14:textId="215CCE22" w:rsidR="001458EC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 Постановлением Администрации Яковлевского МО от 04.07.2024 № 487-НПА утвержден регламент предоставления муниципальной услуги «Выдача разрешения на право организационного розничного рынка на территории Яковлевского муниципального округа».</w:t>
            </w:r>
          </w:p>
          <w:p w14:paraId="16DAF2F9" w14:textId="1D520B48" w:rsidR="00F84741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Постановлением Администрации Яковлевского МО от 02.05.2024 №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 xml:space="preserve">337-па 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утверждена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специальн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ая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комисси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округа».</w:t>
            </w:r>
          </w:p>
          <w:p w14:paraId="1E0E0E6A" w14:textId="05CDF540" w:rsidR="00F84741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остановлени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Администрации Яковлевского МО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 09.09.2024 № 635-па 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установлении 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МО.</w:t>
            </w:r>
            <w:r w:rsidR="00E256B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386EA15" w14:textId="25D957E7" w:rsidR="00E256BF" w:rsidRPr="00016313" w:rsidRDefault="00F84741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текущем периоде</w:t>
            </w:r>
            <w:r w:rsidR="00E256B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проведено три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заседания </w:t>
            </w:r>
            <w:r w:rsidR="00E256B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Совета по развитию малого и среднего предпринимательства и улучшению инвестиционного климата в Яковлевском МО. Информация размещается на официальном сайте Яковлевского МО, социальных сетях Интернет, по эл. почте и лично.  </w:t>
            </w:r>
          </w:p>
          <w:p w14:paraId="4DBA3D80" w14:textId="59CF0058" w:rsidR="00AE7E49" w:rsidRPr="00016313" w:rsidRDefault="00AE7E49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2C81713" w14:textId="6F87919C" w:rsidR="0031030A" w:rsidRPr="00016313" w:rsidRDefault="0031030A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Кроме этого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текущем периоде управлением экономического развития Администрации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оказано содействие </w:t>
            </w:r>
            <w:r w:rsidR="00273717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одному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предпринимател</w:t>
            </w:r>
            <w:r w:rsidR="00273717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продлении статуса 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«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социальн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ого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предпринимател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я»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</w:p>
          <w:p w14:paraId="4129FC49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6E1B41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4AA3C8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</w:tcPr>
          <w:p w14:paraId="31E0F112" w14:textId="77777777" w:rsidR="00646821" w:rsidRPr="00016313" w:rsidRDefault="00646821" w:rsidP="00016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рынок</w:t>
            </w:r>
          </w:p>
          <w:p w14:paraId="1D8D0AD8" w14:textId="77777777" w:rsidR="00646821" w:rsidRPr="00016313" w:rsidRDefault="009B359A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A9F5769">
                <v:line id="Прямая соединительная линия 4" o:spid="_x0000_s102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3.85pt" to="21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" strokecolor="black [3040]"/>
              </w:pict>
            </w:r>
          </w:p>
        </w:tc>
        <w:tc>
          <w:tcPr>
            <w:tcW w:w="1985" w:type="dxa"/>
            <w:gridSpan w:val="2"/>
            <w:vMerge w:val="restart"/>
          </w:tcPr>
          <w:p w14:paraId="46E5C900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2022-2025</w:t>
            </w:r>
          </w:p>
          <w:p w14:paraId="785CD83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BB2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D87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BBB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88A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866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F02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830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827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617A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2022-2025</w:t>
            </w:r>
          </w:p>
          <w:p w14:paraId="1025796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8C6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2EA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04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418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7A95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9C37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CE0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44290F5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980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7A0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E94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61D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6ABD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DB9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</w:tc>
        <w:tc>
          <w:tcPr>
            <w:tcW w:w="1417" w:type="dxa"/>
            <w:vMerge/>
          </w:tcPr>
          <w:p w14:paraId="1C9CA8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F4F16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DEA80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BE20989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994AE8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7F932B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5E5CDB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6B1FC0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410" w:type="dxa"/>
          </w:tcPr>
          <w:p w14:paraId="151E9574" w14:textId="77777777" w:rsidR="00646821" w:rsidRPr="00016313" w:rsidRDefault="009B359A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DE9181B">
                <v:line id="Прямая соединительная линия 8" o:spid="_x0000_s1028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24.05pt" to="213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" strokecolor="black [3040]"/>
              </w:pict>
            </w:r>
            <w:r w:rsidR="00646821" w:rsidRPr="0001631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985" w:type="dxa"/>
            <w:gridSpan w:val="2"/>
            <w:vMerge/>
          </w:tcPr>
          <w:p w14:paraId="51582EC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064AA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AA66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7ED7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21A220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F97FBF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4AA575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F3D09E0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C11E443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10" w:type="dxa"/>
          </w:tcPr>
          <w:p w14:paraId="456E9EB4" w14:textId="77777777" w:rsidR="00646821" w:rsidRPr="00016313" w:rsidRDefault="009B359A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 w14:anchorId="224EB028">
                <v:line id="Прямая соединительная линия 9" o:spid="_x0000_s102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23.85pt" to="214.6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" strokecolor="black [3040]"/>
              </w:pic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985" w:type="dxa"/>
            <w:gridSpan w:val="2"/>
            <w:vMerge/>
          </w:tcPr>
          <w:p w14:paraId="3FCB3A5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8A7C2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CA3F8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F524C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991636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99F305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B0F911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41804534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03B0A1F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0" w:type="dxa"/>
          </w:tcPr>
          <w:p w14:paraId="2A42D83A" w14:textId="77777777" w:rsidR="00646821" w:rsidRPr="00016313" w:rsidRDefault="0064682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торговых предприятий </w:t>
            </w:r>
          </w:p>
        </w:tc>
        <w:tc>
          <w:tcPr>
            <w:tcW w:w="1985" w:type="dxa"/>
            <w:gridSpan w:val="2"/>
            <w:vMerge/>
          </w:tcPr>
          <w:p w14:paraId="616DEBD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FD1E2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7A747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D3D3B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1E6D504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2AD438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C04716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BB73A" w14:textId="77777777" w:rsidR="00123730" w:rsidRPr="00016313" w:rsidRDefault="00123730" w:rsidP="00016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11605" w14:textId="535A91C4" w:rsidR="00BC541E" w:rsidRPr="00016313" w:rsidRDefault="006107A4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  <w:lang w:val="en-US"/>
        </w:rPr>
        <w:t>I</w:t>
      </w: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. </w:t>
      </w:r>
      <w:r w:rsidR="00BC541E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в Яковлевском муниципальном </w:t>
      </w:r>
      <w:r w:rsidR="00227326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>округе</w:t>
      </w:r>
    </w:p>
    <w:p w14:paraId="5F1691A9" w14:textId="77777777" w:rsidR="00BC541E" w:rsidRPr="00016313" w:rsidRDefault="00BC541E" w:rsidP="00016313">
      <w:pPr>
        <w:spacing w:after="0" w:line="240" w:lineRule="auto"/>
        <w:ind w:left="1080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tbl>
      <w:tblPr>
        <w:tblStyle w:val="a3"/>
        <w:tblW w:w="1571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527"/>
        <w:gridCol w:w="1842"/>
        <w:gridCol w:w="1984"/>
        <w:gridCol w:w="3119"/>
        <w:gridCol w:w="8"/>
      </w:tblGrid>
      <w:tr w:rsidR="00D1295E" w:rsidRPr="00016313" w14:paraId="76CEFBD3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E40C" w14:textId="77777777" w:rsidR="00C461B6" w:rsidRPr="00016313" w:rsidRDefault="00DF147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9087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61BC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4934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3CEA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9B80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43B5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582A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1295E" w:rsidRPr="00016313" w14:paraId="65038599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32C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332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AE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B0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0DA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3F1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B0E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155F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1C2" w:rsidRPr="00016313" w14:paraId="7FBC19B8" w14:textId="77777777" w:rsidTr="0054571A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1F3D" w14:textId="77777777" w:rsidR="00C461B6" w:rsidRPr="00016313" w:rsidRDefault="00C461B6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4D23" w14:textId="77777777" w:rsidR="00C461B6" w:rsidRPr="00016313" w:rsidRDefault="005A75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93AC8" w:rsidRPr="00016313" w14:paraId="01E894BE" w14:textId="77777777" w:rsidTr="0054571A">
        <w:trPr>
          <w:gridAfter w:val="1"/>
          <w:wAfter w:w="8" w:type="dxa"/>
          <w:trHeight w:val="17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33982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1418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оказание информационно-консультационной поддержки по вопросам  поддержки предпринимательства: ведения предпринимательской деятельности, 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B896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  <w:p w14:paraId="1D73C2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B45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178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2AF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79C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B3E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C07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98B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0F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073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BA1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F933" w14:textId="65521B6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1FCC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ED6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информирование субъектов малого и среднего предпринимательств. Выработка совместных решений по проблемам ведения бизнеса на территории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674D392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6F06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14:paraId="71925C3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82E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629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FFF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86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2A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AC4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8B5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субъектов предпринимательской деятельности информационной, консультационной поддержкой, совместный подход к решению проблемных вопросов в целях развития предпринимательства</w:t>
            </w:r>
          </w:p>
          <w:p w14:paraId="601971F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AC6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81062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14:paraId="6FD596A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15D0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9F5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E551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2A9E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D8B6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42B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D4A5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9640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FA03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203A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39EF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686D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0559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A5B54" w14:textId="525D9A7E" w:rsidR="00393AC8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B541" w14:textId="58C26484" w:rsidR="0054571A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6F6FE" w14:textId="77777777" w:rsidR="0054571A" w:rsidRPr="00016313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89B3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545E3" w14:textId="77777777" w:rsidR="00393AC8" w:rsidRPr="00016313" w:rsidRDefault="00393AC8" w:rsidP="005457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квартал</w:t>
            </w:r>
          </w:p>
          <w:p w14:paraId="6976CF3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90C5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FDE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количестве оказанных консультаций</w:t>
            </w:r>
          </w:p>
          <w:p w14:paraId="3228C15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FD7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EC4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84C1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C5B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E3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A24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AD3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5FE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341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B33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178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DBD9" w14:textId="1E8E3C5A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0683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DCF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E0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заседания Совета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2F37E74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62B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5F0D5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3895051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9B9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1EA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30A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63A5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82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9B7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C6C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860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11A2" w14:textId="1C3CA3D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1C55" w14:textId="0AFCC472" w:rsidR="0054571A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FB8B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46F3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72A9C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FB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D5C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63BFE" w14:textId="49463E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регулярной основе в средствах массовой информации, на сайте Яковлевского округа, в социальных сетях публикуется информация о новых нормативно-правовых актах и изменениях вносимых в акты, касающихся ведения предпринимательской деятельности.</w:t>
            </w:r>
          </w:p>
          <w:p w14:paraId="6C485849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E0A2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60ED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0ECF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E335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F387" w14:textId="3110D6C5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1144" w14:textId="77777777" w:rsidR="00E256BF" w:rsidRPr="00016313" w:rsidRDefault="00E256BF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7177" w14:textId="47CD3011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 января</w:t>
            </w:r>
            <w:r w:rsidR="00E256BF" w:rsidRPr="00016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  <w:r w:rsidR="00E256BF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 30 сентября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2024 года проведен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256BF" w:rsidRPr="0001631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 и улучшению инвестиционного климата в Яковлевском округе.</w:t>
            </w:r>
          </w:p>
          <w:p w14:paraId="297B9987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На заседани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члены Совета входящие в коллегиальный орган при главе</w:t>
            </w:r>
            <w:r w:rsidR="00171DF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Яковлевского  муниципального округа по вопросам содействия развитию конкуренции на территории округа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рассмотрены  вопросы:</w:t>
            </w:r>
          </w:p>
          <w:p w14:paraId="05BDABD6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профилактических рейдах по неформальной занятости в 2023 году на территории Яковлевского муниципального округа.</w:t>
            </w:r>
          </w:p>
          <w:p w14:paraId="5875DFCC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проекта положения по муниципальному контролю в сфере благоустройства на территории Яковлевского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округа.</w:t>
            </w:r>
          </w:p>
          <w:p w14:paraId="3D1771A5" w14:textId="77777777" w:rsidR="00C06389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и утверждении доклада о состоянии и развитии конкуренции на товарных рынках Яковлевского муниципального округа за 2023 год выступила.</w:t>
            </w:r>
          </w:p>
          <w:p w14:paraId="476FAD4B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и утверждении доклада в рамках внедрения системы внутреннего обеспечения соответствия требованиям антимонопольного законодательств</w:t>
            </w:r>
            <w:r w:rsidR="00C0638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в Яковлевском муниципальном округе в 2023 году.</w:t>
            </w:r>
          </w:p>
          <w:p w14:paraId="2257F4BC" w14:textId="77777777" w:rsidR="00696E4D" w:rsidRPr="00016313" w:rsidRDefault="00696E4D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 рассмотрении проекта требований к местам размещения, внешн</w:t>
            </w:r>
            <w:r w:rsidR="003B62E9" w:rsidRPr="00016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му виду и </w:t>
            </w:r>
            <w:r w:rsidR="003B62E9" w:rsidRPr="00016313">
              <w:rPr>
                <w:rFonts w:ascii="Times New Roman" w:hAnsi="Times New Roman" w:cs="Times New Roman"/>
                <w:sz w:val="24"/>
                <w:szCs w:val="24"/>
              </w:rPr>
              <w:t>техническому состоянию нестационарных торговых объектов на территории Яковлевского муниципального округа.</w:t>
            </w:r>
          </w:p>
          <w:p w14:paraId="235485A6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 рассмотрении проекта Схемы размещения нестационарных торговых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на территории Яковлевского муниципального округа.</w:t>
            </w:r>
          </w:p>
          <w:p w14:paraId="7C97F15D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 новых правилах торговли. Запуск разрешительного режима на кассе. Маркировка товаров.</w:t>
            </w:r>
          </w:p>
          <w:p w14:paraId="6C138899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Об установлении величины прожиточного минимума на душу населения и по основным социально-демографическим группам населения Приморского края на 2024 год (Постановление Правительства Приморского края от 14 сентября 2023 года № 643-пп).</w:t>
            </w:r>
          </w:p>
          <w:p w14:paraId="446C53B0" w14:textId="25B9D5A4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 муниципальном земельном контроле на территории Яковлевского муниципального округа. </w:t>
            </w:r>
          </w:p>
          <w:p w14:paraId="415A7890" w14:textId="6D3067AE" w:rsidR="00E256BF" w:rsidRPr="00016313" w:rsidRDefault="00E256BF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проведения работ по обеспечению условий доступности для инвалидов и маломобильных групп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на территории Яковлевского муниципального округа.</w:t>
            </w:r>
          </w:p>
          <w:p w14:paraId="33836F1F" w14:textId="5FFF456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 муниципальном контроле за обеспечением сохранности автомобильных дорог </w:t>
            </w:r>
          </w:p>
          <w:p w14:paraId="544AB82D" w14:textId="7777777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населенных пунктов Яковлевского муниципального округа.</w:t>
            </w:r>
          </w:p>
          <w:p w14:paraId="79EB971D" w14:textId="24C21624" w:rsidR="00E256BF" w:rsidRPr="00016313" w:rsidRDefault="00E256BF" w:rsidP="0001631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постановления Администрации Яковлевского </w:t>
            </w:r>
          </w:p>
          <w:p w14:paraId="5E113FF3" w14:textId="7189477A" w:rsidR="00E256BF" w:rsidRPr="00016313" w:rsidRDefault="00E256BF" w:rsidP="0001631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от 09.09.2024 № 635-па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услуг общественного питания на территории Яковлевского муниципального округа.</w:t>
            </w:r>
          </w:p>
          <w:p w14:paraId="56CF3667" w14:textId="5D0C8BA5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реестра </w:t>
            </w:r>
          </w:p>
          <w:p w14:paraId="6666E130" w14:textId="7777777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ярмарочных площадок на территории Яковлевского муниципального округа (постановление Администрации Яковлевского муниципального округа от 15.05.2024 года № 356-па). Об утверждении общих требований к внешнему виду и оформлению ярмарок на территории Яковлевского муниципального округа (постановление Администрации Яковлевского муниципального округа от 15.05.2024 года № 355-па).</w:t>
            </w:r>
          </w:p>
          <w:p w14:paraId="6545C9C5" w14:textId="77777777" w:rsidR="00E256BF" w:rsidRPr="00016313" w:rsidRDefault="00E256BF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5D57" w14:textId="77777777" w:rsidR="00353E43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Также на заседани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35564" w14:textId="69AEBE5A" w:rsidR="008225DA" w:rsidRPr="00016313" w:rsidRDefault="00353E43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моратория на проверки бизнеса до конца 2024 года в соответствии с постановлением Правительства Российской Федерации от 14 декабря 2023 года № 2140. </w:t>
            </w:r>
          </w:p>
          <w:p w14:paraId="687F979F" w14:textId="0A27FD8E" w:rsidR="00393AC8" w:rsidRPr="00016313" w:rsidRDefault="00353E43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 исполнении пункт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6 протокола заседания Организационного штаба по улучшению инвестиционного климата в Приморском крае от 30.07.2024 № 10 об организации ежеквартального проведения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Часа инвестора» на уровне главы/и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заместителя муниципального округа в целях рассмотрения проблемных вопросов пред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ринимателей и инвесторов, возникающих при получении разрешительной документации и в ходе строительства объектов.</w:t>
            </w:r>
          </w:p>
        </w:tc>
      </w:tr>
      <w:tr w:rsidR="00393AC8" w:rsidRPr="00016313" w14:paraId="14DC4C4F" w14:textId="77777777" w:rsidTr="0054571A">
        <w:trPr>
          <w:gridAfter w:val="1"/>
          <w:wAfter w:w="8" w:type="dxa"/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F8A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8214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Яковлевского муниципального </w:t>
            </w:r>
            <w:r w:rsidR="008225DA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0E7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8C80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6D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46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9BD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44CD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681" w:rsidRPr="00016313" w14:paraId="11322B63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3263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1E8F0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016313" w14:paraId="3C6B0D5D" w14:textId="77777777" w:rsidTr="0054571A">
        <w:trPr>
          <w:gridAfter w:val="1"/>
          <w:wAfter w:w="8" w:type="dxa"/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73388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40B595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случаев осуществления закупки у единственного поставщика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F26A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допустимых объектов размещения закупок у единственного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поставщика 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ABD0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процедур государственных и муниципальных закупок, обеспечение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прозрачности и доступности процедуры государственных и муниципальных закупок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4C91" w14:textId="77777777" w:rsidR="00847681" w:rsidRPr="00016313" w:rsidRDefault="00EF1B2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0FD8" w14:textId="77777777" w:rsidR="00847681" w:rsidRPr="00016313" w:rsidRDefault="00847681" w:rsidP="00016313">
            <w:pPr>
              <w:pStyle w:val="a8"/>
            </w:pPr>
            <w:r w:rsidRPr="00016313">
              <w:t xml:space="preserve">План-график закупок, отчеты, мониторинг закупок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C203" w14:textId="32B60E52" w:rsidR="00847681" w:rsidRPr="00016313" w:rsidRDefault="006943B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заказа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F47C056" w14:textId="77777777" w:rsidR="00847EAC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Закупочные процедуры проводятся в соответствии с Федеральным законом от 05.04.2013 N 44-ФЗ «О контрактной системе в сфере закупок товаров,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работ, услуг для обеспечения государственных и муниципальных нужд».</w:t>
            </w:r>
          </w:p>
          <w:p w14:paraId="0EAA7584" w14:textId="77777777" w:rsidR="00E02E4A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D5713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EAC" w:rsidRPr="00016313" w14:paraId="3982E7A6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7C67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D7089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:rsidRPr="00016313" w14:paraId="6A66B8E0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A7C4" w14:textId="3C311FFD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19E99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об имуществе или предоставлении его во владение или пользование на официальном са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йте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22B" w14:textId="77777777" w:rsidR="00AA4684" w:rsidRPr="00016313" w:rsidRDefault="00C06389" w:rsidP="00016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активность частных организаций при проведении публичных торгов муниципальным имуществом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4A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равных условий доступа  к информации о реализации имущества 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0B5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A44" w14:textId="77777777" w:rsidR="00AA4684" w:rsidRPr="00016313" w:rsidRDefault="00AA4684" w:rsidP="00016313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595" w14:textId="77777777" w:rsidR="00AA4684" w:rsidRPr="00016313" w:rsidRDefault="00C06389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 Яковлевского муниципального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09556B" w14:textId="77777777" w:rsidR="00AA4684" w:rsidRPr="00016313" w:rsidRDefault="00AA468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Яковлевского муниципального округа от 26.09.2023 №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1EBDDE" w14:textId="77777777" w:rsidR="00BF5504" w:rsidRPr="00016313" w:rsidRDefault="00BF550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Яковлевского муниципального округа от 25.10.2023 № 97-па утвержден Перечень муниципального имущества Яковлевского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округа, свободного от прав третьих лиц (за исключением.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приложению к настоящему постановлению.</w:t>
            </w:r>
          </w:p>
        </w:tc>
      </w:tr>
      <w:tr w:rsidR="00E534ED" w:rsidRPr="00016313" w14:paraId="7AEEB180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14E" w14:textId="77777777" w:rsidR="00E534ED" w:rsidRPr="00016313" w:rsidRDefault="00E534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ECE58" w14:textId="2ECDC6A7" w:rsidR="00E534ED" w:rsidRPr="00016313" w:rsidRDefault="002406A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E534E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Обеспечение приватизации имущества, находящегося с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AA4684" w:rsidRPr="00016313" w14:paraId="2462DCFA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80CA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5955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используемого для реализации функций и полномочий органов местного самоуправления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073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Неэффективность использования муниципального имущества</w:t>
            </w:r>
          </w:p>
          <w:p w14:paraId="4B840C0F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610" w14:textId="7AE1B744" w:rsid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перечень муниципального имущества,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соответствующего требования отнесения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14:paraId="23CF84F3" w14:textId="7513BF26" w:rsidR="00AA4684" w:rsidRP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 имущества, предназначенного для реализации функций и полномочий органов местного самоуправления,</w:t>
            </w:r>
          </w:p>
          <w:p w14:paraId="6B2C2E8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920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092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9F8" w14:textId="77777777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355E3" w14:textId="77777777" w:rsidR="00AA4684" w:rsidRPr="00016313" w:rsidRDefault="002403B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Думой Яковлевского муниципального округа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от 31.10.2023 № 147 "О 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11 объектов недвижимого имущества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504" w:rsidRPr="00016313" w14:paraId="4B88272F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31CB" w14:textId="41C30CBA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B723D2" w14:textId="77777777" w:rsidR="00BF5504" w:rsidRPr="00016313" w:rsidRDefault="00BF550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имущества, 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не используемого для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реализации функций и полномочий органов местного самоуправления 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87F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317AE55F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10E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приватизации имущества, находящегося в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используемого для реализации функций полномочий органов местного самоуправления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43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B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приватизации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54" w14:textId="77777777" w:rsidR="00BF550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 Администрации Яковлевского муниципального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DB1A2E" w14:textId="115F5964" w:rsidR="00BF5504" w:rsidRPr="00016313" w:rsidRDefault="002403BC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решением Думы Яковлевского муниципального округа   от 31.10.2023 № 147 "О Программе приватизации имущества, находящегося в собственности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Яковлевского муниципального округа, на 2024 год и плановый период 2025 и 2026 годов", согласно которой подлежат приватизации 11 объектов недвижимого имущества. (мероприятия будут проводит</w:t>
            </w:r>
            <w:r w:rsidR="00110696" w:rsidRPr="00016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ся в </w:t>
            </w:r>
            <w:r w:rsidR="009B3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-м квартале).</w:t>
            </w:r>
          </w:p>
        </w:tc>
      </w:tr>
      <w:tr w:rsidR="00AA4684" w:rsidRPr="00016313" w14:paraId="33E95FB9" w14:textId="77777777" w:rsidTr="0054571A">
        <w:trPr>
          <w:gridAfter w:val="1"/>
          <w:wAfter w:w="8" w:type="dxa"/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130F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6C103F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82D02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Неэффективность использования муниципального имущества</w:t>
            </w:r>
          </w:p>
          <w:p w14:paraId="69A383AF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FC83C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2FB182B6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03C9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1105F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об итогах исполнения программы приватизации</w:t>
            </w:r>
          </w:p>
          <w:p w14:paraId="4EEDEA19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A95E7" w14:textId="77777777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958A13" w14:textId="77777777" w:rsidR="005B19E0" w:rsidRPr="00016313" w:rsidRDefault="005B19E0" w:rsidP="0001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мероприятия будут</w:t>
            </w:r>
          </w:p>
          <w:p w14:paraId="75DEB57E" w14:textId="01195540" w:rsidR="005B19E0" w:rsidRPr="00016313" w:rsidRDefault="005B19E0" w:rsidP="000163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110696" w:rsidRPr="000163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ся в</w:t>
            </w:r>
            <w:r w:rsidR="00110696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5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</w:p>
          <w:p w14:paraId="7BE5A49F" w14:textId="77777777" w:rsidR="00AA4684" w:rsidRPr="00016313" w:rsidRDefault="005B19E0" w:rsidP="00016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квартале</w:t>
            </w:r>
          </w:p>
        </w:tc>
      </w:tr>
    </w:tbl>
    <w:p w14:paraId="19B8007D" w14:textId="77777777" w:rsidR="00DB1BA8" w:rsidRDefault="00DB1BA8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2E8B4" w14:textId="21F19EAC" w:rsidR="005B2BD3" w:rsidRPr="00DB1BA8" w:rsidRDefault="006107A4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  <w:lang w:val="en-US"/>
        </w:rPr>
        <w:lastRenderedPageBreak/>
        <w:t>II</w:t>
      </w: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. </w:t>
      </w:r>
      <w:r w:rsidR="00227326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Дополнительные с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истемные мероприятия по содействию развитию конкуренции </w:t>
      </w:r>
      <w:r w:rsidR="00DB1BA8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в Яковлевском муниципальном округе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                                                              </w:t>
      </w:r>
      <w:r w:rsidR="00E02E4A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</w:t>
      </w:r>
    </w:p>
    <w:tbl>
      <w:tblPr>
        <w:tblStyle w:val="a3"/>
        <w:tblW w:w="1560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285"/>
        <w:gridCol w:w="2326"/>
        <w:gridCol w:w="3228"/>
        <w:gridCol w:w="2126"/>
        <w:gridCol w:w="2835"/>
        <w:gridCol w:w="16"/>
      </w:tblGrid>
      <w:tr w:rsidR="005B2BD3" w:rsidRPr="00016313" w14:paraId="0FFCF516" w14:textId="77777777" w:rsidTr="00DB1BA8">
        <w:trPr>
          <w:gridAfter w:val="1"/>
          <w:wAfter w:w="16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2F02" w14:textId="00225FD5" w:rsidR="005B2BD3" w:rsidRPr="008E1654" w:rsidRDefault="008E165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560A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9048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DB0C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1A5F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A57F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E410" w14:textId="77777777" w:rsidR="005B2BD3" w:rsidRPr="00016313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5B2BD3" w:rsidRPr="00016313" w14:paraId="676B829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F41A" w14:textId="77777777" w:rsidR="005B2BD3" w:rsidRPr="00016313" w:rsidRDefault="005B2BD3" w:rsidP="0001631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Задача: Проведение мониторинга состояния конкуренции на товарных рынках</w:t>
            </w:r>
          </w:p>
        </w:tc>
      </w:tr>
      <w:tr w:rsidR="00451BCB" w:rsidRPr="00016313" w14:paraId="78EA1A9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4336" w14:textId="274AB389" w:rsidR="00451BCB" w:rsidRPr="00016313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0E52C5B" w14:textId="77777777" w:rsidR="00451BCB" w:rsidRPr="00016313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(отсутствия) административных барьеров  и оценки состояния конкуренции субъектами предпринимательской деятельности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2AC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Яковлевского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4BC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E891D9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DEC" w14:textId="77777777" w:rsidR="00451BCB" w:rsidRPr="00016313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5992D346" w14:textId="77777777" w:rsidR="00451BCB" w:rsidRPr="00016313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A3" w14:textId="77777777" w:rsidR="00451BCB" w:rsidRPr="00016313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4F13C0C" w14:textId="77777777" w:rsidR="00451BCB" w:rsidRPr="00016313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4758" w14:textId="77777777" w:rsidR="00451BCB" w:rsidRPr="00016313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AA2C" w14:textId="77777777" w:rsidR="00451BCB" w:rsidRPr="00016313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574475" w14:textId="77777777" w:rsidR="00451BCB" w:rsidRPr="00016313" w:rsidRDefault="00C047E8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Мониторинг проводи</w:t>
            </w:r>
            <w:r w:rsidR="00CD5713" w:rsidRPr="00016313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FE" w:rsidRPr="00016313">
              <w:rPr>
                <w:rFonts w:ascii="Times New Roman" w:hAnsi="Times New Roman" w:cs="Times New Roman"/>
                <w:sz w:val="24"/>
                <w:szCs w:val="24"/>
              </w:rPr>
              <w:t>по запросу и установленным срокам Министерством экономического развития Приморского края.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1BCB" w:rsidRPr="00016313" w14:paraId="26E7B41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D845" w14:textId="77D65174" w:rsidR="00451BCB" w:rsidRPr="00016313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74A3D0" w14:textId="77777777" w:rsidR="00451BCB" w:rsidRPr="00016313" w:rsidRDefault="00451BCB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 потребителей качеством товаров, работ и услуг на рынках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6BF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278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C7A57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703" w14:textId="77777777" w:rsidR="00451BCB" w:rsidRPr="00016313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031CA4F0" w14:textId="77777777" w:rsidR="00451BCB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EB469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8888E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AFBCA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57A65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CDE25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7C751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8EE41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C5ED9" w14:textId="77777777" w:rsidR="00D937AE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CEE26" w14:textId="622F6D24" w:rsidR="00D937AE" w:rsidRPr="00016313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C66" w14:textId="77777777" w:rsidR="00451BCB" w:rsidRPr="00016313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77B1AA" w14:textId="0E9C0411" w:rsidR="00451BCB" w:rsidRPr="00016313" w:rsidRDefault="00185177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247FE" w:rsidRPr="00016313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="00CD5713" w:rsidRPr="0001631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второ</w:t>
            </w:r>
            <w:r w:rsidR="00CD5713" w:rsidRPr="0001631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</w:t>
            </w:r>
            <w:r w:rsidR="0033451C" w:rsidRPr="00016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1C" w:rsidRPr="00016313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7247FE" w:rsidRPr="000163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71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47FE" w:rsidRPr="00016313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02E4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опрос  жителей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получения услуг на товарных рынках. Анализ анкетирования будет представлен в годовом докладе. </w:t>
            </w:r>
          </w:p>
        </w:tc>
      </w:tr>
      <w:tr w:rsidR="00451BCB" w:rsidRPr="00016313" w14:paraId="42580AFB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3DA2" w14:textId="180CD241" w:rsidR="00451BCB" w:rsidRPr="00016313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ED2594" w14:textId="77777777" w:rsidR="00451BCB" w:rsidRPr="00016313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>потребителей финансовыми усл</w:t>
            </w:r>
            <w:r w:rsidR="00185177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B4E" w14:textId="4D60FD7B" w:rsidR="00451BCB" w:rsidRPr="00016313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Получение и анализ информации об удовлетворенности потребителей качеством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8D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5F267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F38" w14:textId="77777777" w:rsidR="00451BCB" w:rsidRPr="00016313" w:rsidRDefault="00451BCB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7D319ADA" w14:textId="77777777" w:rsidR="00451BCB" w:rsidRPr="00016313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48" w14:textId="77777777" w:rsidR="00451BCB" w:rsidRPr="00016313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C21A5D" w14:textId="77777777" w:rsidR="00185177" w:rsidRPr="00016313" w:rsidRDefault="00185177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 Яковлевского муниципального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675" w:rsidRPr="00016313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привлечению к опросу жителей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 предоставления финансовых у</w:t>
            </w:r>
            <w:r w:rsidR="00E02E4A" w:rsidRPr="00016313">
              <w:rPr>
                <w:rFonts w:ascii="Times New Roman" w:hAnsi="Times New Roman" w:cs="Times New Roman"/>
                <w:sz w:val="24"/>
                <w:szCs w:val="24"/>
              </w:rPr>
              <w:t>слуг в 202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7FE"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67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Анализ анкетирования будет представлен в годовом докладе.</w:t>
            </w:r>
          </w:p>
          <w:p w14:paraId="017A0D2C" w14:textId="77777777" w:rsidR="00E02E4A" w:rsidRPr="00016313" w:rsidRDefault="00E02E4A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CB" w:rsidRPr="00016313" w14:paraId="0433337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94A" w14:textId="02CBC4A8" w:rsidR="00451BCB" w:rsidRPr="00016313" w:rsidRDefault="00451BCB" w:rsidP="0054571A">
            <w:pPr>
              <w:pStyle w:val="ConsPlusNormal"/>
              <w:numPr>
                <w:ilvl w:val="3"/>
                <w:numId w:val="4"/>
              </w:numPr>
              <w:tabs>
                <w:tab w:val="left" w:pos="5105"/>
                <w:tab w:val="left" w:pos="9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 Развитие рынка ритуальных услуг</w:t>
            </w:r>
          </w:p>
        </w:tc>
      </w:tr>
      <w:tr w:rsidR="002A5617" w:rsidRPr="00016313" w14:paraId="06DCC371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8FC2" w14:textId="3EEAD34B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9E769" w14:textId="77777777" w:rsidR="002A5617" w:rsidRPr="00016313" w:rsidRDefault="002A5617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6A21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14:paraId="4D875CAA" w14:textId="545AF834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- до 31.12.2024; организация инвентаризации всего количества существующих кладбищ и мест захоронений на них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62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ежегодно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8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D2C8" w14:textId="1CE93F16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44E080B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97491D" w14:textId="4C394018" w:rsidR="002A5617" w:rsidRPr="00016313" w:rsidRDefault="005B19E0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 года был организован сбор коммерческих предприятий для заключения муниципального контракта </w:t>
            </w:r>
            <w:r w:rsidR="00D767C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про инвентаризации кладбищ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. Во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объявлен аукцион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>. По итогам проведения аукциона заключен муниципальный контракт. П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роводи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кладбища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общая площадь 9,3232 Га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). В третьем квартале работы выполнены в полном объеме. По состоянию на 01.10.2024 года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второй муниципальный контракт </w:t>
            </w:r>
            <w:r w:rsidR="009B359A" w:rsidRPr="00016313">
              <w:rPr>
                <w:rFonts w:ascii="Times New Roman" w:hAnsi="Times New Roman" w:cs="Times New Roman"/>
                <w:sz w:val="24"/>
                <w:szCs w:val="24"/>
              </w:rPr>
              <w:t>на оказание услуг про инвентаризации кладбищ Яковлевского муниципального округа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 (общая площадь 8737 Га). Срок исполнения до 01.12.</w:t>
            </w:r>
            <w:bookmarkStart w:id="0" w:name="_GoBack"/>
            <w:bookmarkEnd w:id="0"/>
            <w:r w:rsidR="009B359A">
              <w:rPr>
                <w:rFonts w:ascii="Times New Roman" w:hAnsi="Times New Roman" w:cs="Times New Roman"/>
                <w:sz w:val="24"/>
                <w:szCs w:val="24"/>
              </w:rPr>
              <w:t>2024 года.</w:t>
            </w:r>
            <w:r w:rsidR="003A2DE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617" w:rsidRPr="00016313" w14:paraId="192B2D00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7AB9" w14:textId="51B8A941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6AFFA5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в муниципальном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инвентаризации реестров кладбищ  и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11F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67B" w14:textId="77777777" w:rsidR="002A5617" w:rsidRPr="00016313" w:rsidRDefault="006430B2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D1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  <w:p w14:paraId="594BC97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D98E6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F9D40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07717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59B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FD875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FCDA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97E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560C85" w14:textId="48FF4EEE" w:rsidR="002A5617" w:rsidRPr="00016313" w:rsidRDefault="00C1546E" w:rsidP="00D9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мест захоронений на них доводится до населения округа.</w:t>
            </w:r>
          </w:p>
        </w:tc>
      </w:tr>
      <w:tr w:rsidR="002A5617" w:rsidRPr="00016313" w14:paraId="3A9E9C33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1505" w14:textId="4B1E9DF2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B52741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информации, в том числе с использованием СМИ о создании и размещении на региональных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2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11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31.12.2024,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C21" w14:textId="77777777" w:rsidR="002A5617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2990490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D5B8E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7D4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D7C5D" w14:textId="424E1A65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55C" w14:textId="77777777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4AF3D1B7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C1246A" w14:textId="3B25FBF2" w:rsidR="002A5617" w:rsidRPr="00016313" w:rsidRDefault="003A2DE5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СМИ и других информационных ресурсов информация о создании и размещении на региональных порталах государственных и муниципальных услуг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реестров кладбищ мест захоронений на них доводится до населения округа. </w:t>
            </w:r>
          </w:p>
        </w:tc>
      </w:tr>
      <w:tr w:rsidR="00185177" w:rsidRPr="00016313" w14:paraId="70C627F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203" w14:textId="22170F35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4EF3D9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849" w14:textId="77777777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E4C" w14:textId="77777777" w:rsidR="00185177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 далее ежегодно</w:t>
            </w:r>
          </w:p>
          <w:p w14:paraId="312BFE6D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409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8D7B" w14:textId="7FCC5FDB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5B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F79" w14:textId="77777777" w:rsidR="0018517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7E5B0A8E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B0F57B" w14:textId="77777777" w:rsidR="00185177" w:rsidRPr="00016313" w:rsidRDefault="00185177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  <w:r w:rsidR="000172E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177" w:rsidRPr="00016313" w14:paraId="1785C475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A549" w14:textId="5AD1EBBE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8CE638" w14:textId="77777777" w:rsidR="002403BC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оказания ритуальных услуг по принципу «одного окна» на основе конкуренции  с</w:t>
            </w:r>
          </w:p>
          <w:p w14:paraId="0F68C033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лицам, ответственным за  захоронения,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полной информации об указанных хозяйствующих субъектах, содержащейся в таких реестрах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D70" w14:textId="77777777" w:rsidR="00185177" w:rsidRPr="00016313" w:rsidRDefault="00185177" w:rsidP="00DB1BA8">
            <w:pPr>
              <w:suppressAutoHyphens/>
              <w:autoSpaceDE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Организация оказания ритуальных услуг по принципу «одного окна» на основе конкуренции с предоставлением лицам, ответственным за захоронения,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246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13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Нормативно-правовой акт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F08" w14:textId="77777777" w:rsidR="00185177" w:rsidRPr="00016313" w:rsidRDefault="006430B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E5BAF90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6AEFFE" w14:textId="77777777" w:rsidR="00185177" w:rsidRPr="00016313" w:rsidRDefault="00185177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77" w:rsidRPr="00016313" w14:paraId="6B0EDACC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869D" w14:textId="3B3F3B4C" w:rsidR="00185177" w:rsidRPr="00016313" w:rsidRDefault="00185177" w:rsidP="00016313">
            <w:pPr>
              <w:pStyle w:val="ConsPlusNormal"/>
              <w:numPr>
                <w:ilvl w:val="3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16313" w14:paraId="43D23BB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2EF" w14:textId="424DC2A6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937BE" w14:textId="03D297EC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FC415A" w14:textId="411AECE2" w:rsidR="00185177" w:rsidRPr="00016313" w:rsidRDefault="00185177" w:rsidP="00DB1BA8">
            <w:pPr>
              <w:suppressAutoHyphens/>
              <w:autoSpaceDE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На территории Яковлевского муниципального </w:t>
            </w:r>
            <w:r w:rsidR="006430B2"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>округа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обеспечение функционирования) отсутствуют унитарные предприятия, за 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lastRenderedPageBreak/>
              <w:t>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63DE8E" w14:textId="77777777" w:rsidR="00185177" w:rsidRPr="00016313" w:rsidRDefault="00185177" w:rsidP="0001631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DC4A7" w14:textId="77777777" w:rsidR="00185177" w:rsidRPr="00016313" w:rsidRDefault="00185177" w:rsidP="00016313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E0E" w14:textId="77777777" w:rsidR="00DF1474" w:rsidRPr="00016313" w:rsidRDefault="006430B2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</w:t>
            </w:r>
          </w:p>
          <w:p w14:paraId="2649C4CD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Яковлевского муниципального 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14:paraId="770FADA8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860749" w14:textId="77777777" w:rsidR="00185177" w:rsidRPr="00016313" w:rsidRDefault="00185177" w:rsidP="00016313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Яковлевского муниципального </w:t>
            </w:r>
            <w:r w:rsidR="00AC333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 с 08.01.2020 установлен запрет на создание, в том числе путем реорганизации,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14:paraId="734A6852" w14:textId="77777777" w:rsidR="005B2BD3" w:rsidRPr="00016313" w:rsidRDefault="005B2BD3" w:rsidP="00016313">
      <w:pPr>
        <w:pStyle w:val="a5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5B2BD3" w:rsidRPr="00016313" w:rsidSect="009B359A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233"/>
    <w:multiLevelType w:val="hybridMultilevel"/>
    <w:tmpl w:val="96B064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6C7"/>
    <w:multiLevelType w:val="hybridMultilevel"/>
    <w:tmpl w:val="63EE20CC"/>
    <w:lvl w:ilvl="0" w:tplc="8D56B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1154"/>
    <w:multiLevelType w:val="hybridMultilevel"/>
    <w:tmpl w:val="EB6E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3075F"/>
    <w:multiLevelType w:val="hybridMultilevel"/>
    <w:tmpl w:val="8E48F2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568F"/>
    <w:multiLevelType w:val="hybridMultilevel"/>
    <w:tmpl w:val="61E61A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94E51"/>
    <w:multiLevelType w:val="hybridMultilevel"/>
    <w:tmpl w:val="9AC024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6488"/>
    <w:multiLevelType w:val="hybridMultilevel"/>
    <w:tmpl w:val="65BC6E6E"/>
    <w:lvl w:ilvl="0" w:tplc="3F9E232A">
      <w:start w:val="2"/>
      <w:numFmt w:val="upperRoman"/>
      <w:lvlText w:val="%1."/>
      <w:lvlJc w:val="left"/>
      <w:pPr>
        <w:ind w:left="1800" w:hanging="72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FC"/>
    <w:rsid w:val="00016313"/>
    <w:rsid w:val="000172E4"/>
    <w:rsid w:val="00017775"/>
    <w:rsid w:val="00022B40"/>
    <w:rsid w:val="00025EB1"/>
    <w:rsid w:val="000328A6"/>
    <w:rsid w:val="00032C4E"/>
    <w:rsid w:val="000332E6"/>
    <w:rsid w:val="000356C8"/>
    <w:rsid w:val="0004767F"/>
    <w:rsid w:val="00051615"/>
    <w:rsid w:val="00061B3F"/>
    <w:rsid w:val="00064AAB"/>
    <w:rsid w:val="000677D9"/>
    <w:rsid w:val="000738C9"/>
    <w:rsid w:val="00080CCB"/>
    <w:rsid w:val="00086E28"/>
    <w:rsid w:val="000A0D01"/>
    <w:rsid w:val="000B6528"/>
    <w:rsid w:val="000C51C2"/>
    <w:rsid w:val="000D54FD"/>
    <w:rsid w:val="000E4991"/>
    <w:rsid w:val="000F1587"/>
    <w:rsid w:val="00106F79"/>
    <w:rsid w:val="00110696"/>
    <w:rsid w:val="00120511"/>
    <w:rsid w:val="00121E72"/>
    <w:rsid w:val="00123730"/>
    <w:rsid w:val="00135C71"/>
    <w:rsid w:val="00137B50"/>
    <w:rsid w:val="0014065D"/>
    <w:rsid w:val="0014093D"/>
    <w:rsid w:val="0014272B"/>
    <w:rsid w:val="001458EC"/>
    <w:rsid w:val="00171DF5"/>
    <w:rsid w:val="00177B46"/>
    <w:rsid w:val="00185177"/>
    <w:rsid w:val="001A08BD"/>
    <w:rsid w:val="001A2DBE"/>
    <w:rsid w:val="001A5FDF"/>
    <w:rsid w:val="001A6B0A"/>
    <w:rsid w:val="001C1227"/>
    <w:rsid w:val="001C30DA"/>
    <w:rsid w:val="001E19C2"/>
    <w:rsid w:val="001E3BD8"/>
    <w:rsid w:val="001F2AB0"/>
    <w:rsid w:val="00200B31"/>
    <w:rsid w:val="00206A06"/>
    <w:rsid w:val="00212340"/>
    <w:rsid w:val="00227326"/>
    <w:rsid w:val="00234938"/>
    <w:rsid w:val="00237ADA"/>
    <w:rsid w:val="002403BC"/>
    <w:rsid w:val="002403FE"/>
    <w:rsid w:val="002406A3"/>
    <w:rsid w:val="00246552"/>
    <w:rsid w:val="002516D7"/>
    <w:rsid w:val="00253314"/>
    <w:rsid w:val="002606B0"/>
    <w:rsid w:val="0027243F"/>
    <w:rsid w:val="0027342F"/>
    <w:rsid w:val="00273717"/>
    <w:rsid w:val="002753F3"/>
    <w:rsid w:val="00282164"/>
    <w:rsid w:val="002833FB"/>
    <w:rsid w:val="002A5617"/>
    <w:rsid w:val="002A637B"/>
    <w:rsid w:val="002A69FB"/>
    <w:rsid w:val="002A72AD"/>
    <w:rsid w:val="002B189D"/>
    <w:rsid w:val="002E03BD"/>
    <w:rsid w:val="002F3F9C"/>
    <w:rsid w:val="00305611"/>
    <w:rsid w:val="0031030A"/>
    <w:rsid w:val="003103ED"/>
    <w:rsid w:val="00320717"/>
    <w:rsid w:val="003270AD"/>
    <w:rsid w:val="00331FB2"/>
    <w:rsid w:val="00333E8C"/>
    <w:rsid w:val="0033451C"/>
    <w:rsid w:val="00334AE3"/>
    <w:rsid w:val="00335C04"/>
    <w:rsid w:val="00353E43"/>
    <w:rsid w:val="003850FF"/>
    <w:rsid w:val="00393AC8"/>
    <w:rsid w:val="00395181"/>
    <w:rsid w:val="00395FAA"/>
    <w:rsid w:val="00396DFC"/>
    <w:rsid w:val="003A2DE5"/>
    <w:rsid w:val="003B62E9"/>
    <w:rsid w:val="003C3458"/>
    <w:rsid w:val="003C3A30"/>
    <w:rsid w:val="003C5867"/>
    <w:rsid w:val="003C6EC2"/>
    <w:rsid w:val="003E3FFC"/>
    <w:rsid w:val="00401954"/>
    <w:rsid w:val="00403B4D"/>
    <w:rsid w:val="00404859"/>
    <w:rsid w:val="004118FE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4E4595"/>
    <w:rsid w:val="00506A28"/>
    <w:rsid w:val="00506BB7"/>
    <w:rsid w:val="00507111"/>
    <w:rsid w:val="00511082"/>
    <w:rsid w:val="0054331D"/>
    <w:rsid w:val="0054571A"/>
    <w:rsid w:val="00546778"/>
    <w:rsid w:val="00552823"/>
    <w:rsid w:val="0055567A"/>
    <w:rsid w:val="005813AF"/>
    <w:rsid w:val="00594D0C"/>
    <w:rsid w:val="005A75ED"/>
    <w:rsid w:val="005B19E0"/>
    <w:rsid w:val="005B2BD3"/>
    <w:rsid w:val="005B35B4"/>
    <w:rsid w:val="005B4BF5"/>
    <w:rsid w:val="005C0F91"/>
    <w:rsid w:val="005C202A"/>
    <w:rsid w:val="005C707A"/>
    <w:rsid w:val="005D121F"/>
    <w:rsid w:val="005E0F54"/>
    <w:rsid w:val="005E3654"/>
    <w:rsid w:val="005E3832"/>
    <w:rsid w:val="005F17C2"/>
    <w:rsid w:val="00601D26"/>
    <w:rsid w:val="006107A4"/>
    <w:rsid w:val="00611E20"/>
    <w:rsid w:val="00612739"/>
    <w:rsid w:val="00632EAF"/>
    <w:rsid w:val="0063403E"/>
    <w:rsid w:val="00634AA7"/>
    <w:rsid w:val="006430B2"/>
    <w:rsid w:val="00646821"/>
    <w:rsid w:val="00656ECE"/>
    <w:rsid w:val="00683266"/>
    <w:rsid w:val="00684C18"/>
    <w:rsid w:val="00687C9C"/>
    <w:rsid w:val="006943B3"/>
    <w:rsid w:val="0069584C"/>
    <w:rsid w:val="00696E4D"/>
    <w:rsid w:val="006A0B90"/>
    <w:rsid w:val="006A3E6F"/>
    <w:rsid w:val="006A7B5A"/>
    <w:rsid w:val="006B7910"/>
    <w:rsid w:val="006B7F57"/>
    <w:rsid w:val="006C0630"/>
    <w:rsid w:val="006D2F14"/>
    <w:rsid w:val="006D433F"/>
    <w:rsid w:val="006E2217"/>
    <w:rsid w:val="00701DB9"/>
    <w:rsid w:val="00711CC2"/>
    <w:rsid w:val="00721D3A"/>
    <w:rsid w:val="007247FE"/>
    <w:rsid w:val="0072592C"/>
    <w:rsid w:val="00735675"/>
    <w:rsid w:val="00746A6C"/>
    <w:rsid w:val="007608BA"/>
    <w:rsid w:val="007822A2"/>
    <w:rsid w:val="00785FD4"/>
    <w:rsid w:val="0079169E"/>
    <w:rsid w:val="00797F51"/>
    <w:rsid w:val="007B042C"/>
    <w:rsid w:val="007B5C30"/>
    <w:rsid w:val="007C6BC1"/>
    <w:rsid w:val="007D75E3"/>
    <w:rsid w:val="007F0917"/>
    <w:rsid w:val="00821297"/>
    <w:rsid w:val="008225DA"/>
    <w:rsid w:val="00831803"/>
    <w:rsid w:val="00847681"/>
    <w:rsid w:val="00847EAC"/>
    <w:rsid w:val="00852983"/>
    <w:rsid w:val="008542BF"/>
    <w:rsid w:val="008624F5"/>
    <w:rsid w:val="00886A38"/>
    <w:rsid w:val="008C40D6"/>
    <w:rsid w:val="008C57B7"/>
    <w:rsid w:val="008D14F6"/>
    <w:rsid w:val="008E1654"/>
    <w:rsid w:val="008E6260"/>
    <w:rsid w:val="0090041B"/>
    <w:rsid w:val="00902A1B"/>
    <w:rsid w:val="00935BE1"/>
    <w:rsid w:val="0095108A"/>
    <w:rsid w:val="0096131D"/>
    <w:rsid w:val="00965F43"/>
    <w:rsid w:val="009953B2"/>
    <w:rsid w:val="009A649A"/>
    <w:rsid w:val="009B359A"/>
    <w:rsid w:val="009C37FE"/>
    <w:rsid w:val="009D65CA"/>
    <w:rsid w:val="009F25BD"/>
    <w:rsid w:val="009F36F2"/>
    <w:rsid w:val="00A02771"/>
    <w:rsid w:val="00A0583C"/>
    <w:rsid w:val="00A24C08"/>
    <w:rsid w:val="00A337AC"/>
    <w:rsid w:val="00A51FB4"/>
    <w:rsid w:val="00A673AF"/>
    <w:rsid w:val="00A742B4"/>
    <w:rsid w:val="00A93FB6"/>
    <w:rsid w:val="00AA4684"/>
    <w:rsid w:val="00AA469B"/>
    <w:rsid w:val="00AA6345"/>
    <w:rsid w:val="00AB18BB"/>
    <w:rsid w:val="00AC333A"/>
    <w:rsid w:val="00AD23B2"/>
    <w:rsid w:val="00AD4FA0"/>
    <w:rsid w:val="00AE3E5B"/>
    <w:rsid w:val="00AE7E49"/>
    <w:rsid w:val="00AF19F6"/>
    <w:rsid w:val="00B130A3"/>
    <w:rsid w:val="00B14C3C"/>
    <w:rsid w:val="00B25D94"/>
    <w:rsid w:val="00B26287"/>
    <w:rsid w:val="00B37CA5"/>
    <w:rsid w:val="00B4405A"/>
    <w:rsid w:val="00B441C3"/>
    <w:rsid w:val="00B54190"/>
    <w:rsid w:val="00B57747"/>
    <w:rsid w:val="00B81DAF"/>
    <w:rsid w:val="00BA1479"/>
    <w:rsid w:val="00BC541E"/>
    <w:rsid w:val="00BD1C0B"/>
    <w:rsid w:val="00BD47C4"/>
    <w:rsid w:val="00BE07CF"/>
    <w:rsid w:val="00BF4C55"/>
    <w:rsid w:val="00BF5504"/>
    <w:rsid w:val="00BF6E23"/>
    <w:rsid w:val="00C005FB"/>
    <w:rsid w:val="00C047E8"/>
    <w:rsid w:val="00C06389"/>
    <w:rsid w:val="00C1063D"/>
    <w:rsid w:val="00C1546E"/>
    <w:rsid w:val="00C15A6A"/>
    <w:rsid w:val="00C339F4"/>
    <w:rsid w:val="00C37B0B"/>
    <w:rsid w:val="00C461B6"/>
    <w:rsid w:val="00C80241"/>
    <w:rsid w:val="00C80AFB"/>
    <w:rsid w:val="00C912A2"/>
    <w:rsid w:val="00C92F01"/>
    <w:rsid w:val="00CA0B74"/>
    <w:rsid w:val="00CC7ED8"/>
    <w:rsid w:val="00CD308E"/>
    <w:rsid w:val="00CD5713"/>
    <w:rsid w:val="00D05941"/>
    <w:rsid w:val="00D1295E"/>
    <w:rsid w:val="00D14C84"/>
    <w:rsid w:val="00D17D9E"/>
    <w:rsid w:val="00D339BD"/>
    <w:rsid w:val="00D37408"/>
    <w:rsid w:val="00D56415"/>
    <w:rsid w:val="00D57C42"/>
    <w:rsid w:val="00D57D1A"/>
    <w:rsid w:val="00D767C1"/>
    <w:rsid w:val="00D76D60"/>
    <w:rsid w:val="00D864EF"/>
    <w:rsid w:val="00D937AE"/>
    <w:rsid w:val="00DB1BA8"/>
    <w:rsid w:val="00DB7DC9"/>
    <w:rsid w:val="00DD0CA1"/>
    <w:rsid w:val="00DD7C84"/>
    <w:rsid w:val="00DF1474"/>
    <w:rsid w:val="00E02E4A"/>
    <w:rsid w:val="00E07BBC"/>
    <w:rsid w:val="00E12AFC"/>
    <w:rsid w:val="00E16A5B"/>
    <w:rsid w:val="00E1758B"/>
    <w:rsid w:val="00E256BF"/>
    <w:rsid w:val="00E43EAC"/>
    <w:rsid w:val="00E51C9B"/>
    <w:rsid w:val="00E534ED"/>
    <w:rsid w:val="00E611DC"/>
    <w:rsid w:val="00E669F3"/>
    <w:rsid w:val="00E75B88"/>
    <w:rsid w:val="00E94C75"/>
    <w:rsid w:val="00E94D94"/>
    <w:rsid w:val="00EA259F"/>
    <w:rsid w:val="00EB3A92"/>
    <w:rsid w:val="00EC3E2D"/>
    <w:rsid w:val="00EC7CB0"/>
    <w:rsid w:val="00ED5770"/>
    <w:rsid w:val="00EF1B2B"/>
    <w:rsid w:val="00EF2357"/>
    <w:rsid w:val="00EF2B00"/>
    <w:rsid w:val="00F00CDF"/>
    <w:rsid w:val="00F07901"/>
    <w:rsid w:val="00F1044C"/>
    <w:rsid w:val="00F13F74"/>
    <w:rsid w:val="00F47126"/>
    <w:rsid w:val="00F57765"/>
    <w:rsid w:val="00F74BD7"/>
    <w:rsid w:val="00F8445A"/>
    <w:rsid w:val="00F84741"/>
    <w:rsid w:val="00F942E9"/>
    <w:rsid w:val="00F96FB0"/>
    <w:rsid w:val="00FA4B68"/>
    <w:rsid w:val="00FB4B80"/>
    <w:rsid w:val="00FD016E"/>
    <w:rsid w:val="00FD67F7"/>
    <w:rsid w:val="00FD6EFB"/>
    <w:rsid w:val="00FE35F0"/>
    <w:rsid w:val="00FE397F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C1CCF3"/>
  <w15:docId w15:val="{79934414-2F03-45B6-839A-6EE20A2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9F55-148E-47FE-8BF1-A17B7620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29</Pages>
  <Words>4988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57</cp:revision>
  <cp:lastPrinted>2024-10-04T05:58:00Z</cp:lastPrinted>
  <dcterms:created xsi:type="dcterms:W3CDTF">2024-04-05T02:39:00Z</dcterms:created>
  <dcterms:modified xsi:type="dcterms:W3CDTF">2024-10-04T06:39:00Z</dcterms:modified>
</cp:coreProperties>
</file>